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page" w:tblpX="1291" w:tblpY="1801"/>
        <w:tblW w:w="9990"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1702"/>
        <w:gridCol w:w="3510"/>
        <w:gridCol w:w="2070"/>
        <w:gridCol w:w="2708"/>
      </w:tblGrid>
      <w:tr w:rsidR="00FE1769" w:rsidRPr="004F0961" w14:paraId="40A32F07" w14:textId="77777777" w:rsidTr="00D3289E">
        <w:trPr>
          <w:trHeight w:val="420"/>
        </w:trPr>
        <w:tc>
          <w:tcPr>
            <w:tcW w:w="9990" w:type="dxa"/>
            <w:gridSpan w:val="4"/>
            <w:tcBorders>
              <w:top w:val="single" w:sz="6" w:space="0" w:color="000000"/>
              <w:left w:val="single" w:sz="6" w:space="0" w:color="000000"/>
              <w:bottom w:val="single" w:sz="6" w:space="0" w:color="000000"/>
              <w:right w:val="single" w:sz="6" w:space="0" w:color="000000"/>
            </w:tcBorders>
            <w:shd w:val="clear" w:color="auto" w:fill="95B3D7" w:themeFill="accent1" w:themeFillTint="99"/>
            <w:tcMar>
              <w:top w:w="15" w:type="dxa"/>
              <w:left w:w="105" w:type="dxa"/>
              <w:bottom w:w="15" w:type="dxa"/>
              <w:right w:w="105" w:type="dxa"/>
            </w:tcMar>
            <w:vAlign w:val="center"/>
            <w:hideMark/>
          </w:tcPr>
          <w:p w14:paraId="67A5044F" w14:textId="6479FFDB" w:rsidR="00FE1769" w:rsidRPr="004F0961" w:rsidRDefault="00F0039E" w:rsidP="00D3289E">
            <w:pPr>
              <w:jc w:val="center"/>
              <w:rPr>
                <w:rFonts w:asciiTheme="majorHAnsi" w:eastAsia="Times New Roman" w:hAnsiTheme="majorHAnsi" w:cstheme="majorHAnsi"/>
                <w:b/>
                <w:bCs/>
                <w:noProof w:val="0"/>
                <w:color w:val="FFFFFF" w:themeColor="background1"/>
                <w:sz w:val="20"/>
                <w:szCs w:val="20"/>
                <w:u w:val="single"/>
              </w:rPr>
            </w:pPr>
            <w:r w:rsidRPr="004F0961">
              <w:rPr>
                <w:rFonts w:asciiTheme="majorHAnsi" w:eastAsia="Times New Roman" w:hAnsiTheme="majorHAnsi" w:cstheme="majorHAnsi"/>
                <w:b/>
                <w:bCs/>
                <w:noProof w:val="0"/>
                <w:color w:val="FFFFFF" w:themeColor="background1"/>
                <w:sz w:val="20"/>
                <w:szCs w:val="20"/>
                <w:u w:val="single"/>
              </w:rPr>
              <w:t xml:space="preserve">ESG </w:t>
            </w:r>
            <w:r w:rsidR="00F32773" w:rsidRPr="004F0961">
              <w:rPr>
                <w:rFonts w:asciiTheme="majorHAnsi" w:eastAsia="Times New Roman" w:hAnsiTheme="majorHAnsi" w:cstheme="majorHAnsi"/>
                <w:b/>
                <w:bCs/>
                <w:noProof w:val="0"/>
                <w:color w:val="FFFFFF" w:themeColor="background1"/>
                <w:sz w:val="20"/>
                <w:szCs w:val="20"/>
                <w:u w:val="single"/>
              </w:rPr>
              <w:t>SUPERVISION REPORT</w:t>
            </w:r>
          </w:p>
        </w:tc>
      </w:tr>
      <w:tr w:rsidR="00BD5454" w:rsidRPr="004F0961" w14:paraId="66C90099" w14:textId="77777777" w:rsidTr="00BD5454">
        <w:trPr>
          <w:trHeight w:val="339"/>
        </w:trPr>
        <w:tc>
          <w:tcPr>
            <w:tcW w:w="9990" w:type="dxa"/>
            <w:gridSpan w:val="4"/>
            <w:tcBorders>
              <w:top w:val="single" w:sz="6" w:space="0" w:color="000000"/>
              <w:left w:val="single" w:sz="6" w:space="0" w:color="000000"/>
              <w:bottom w:val="single" w:sz="6" w:space="0" w:color="000000"/>
              <w:right w:val="single" w:sz="6" w:space="0" w:color="000000"/>
            </w:tcBorders>
            <w:shd w:val="clear" w:color="auto" w:fill="DBE5F1" w:themeFill="accent1" w:themeFillTint="33"/>
            <w:tcMar>
              <w:top w:w="15" w:type="dxa"/>
              <w:left w:w="105" w:type="dxa"/>
              <w:bottom w:w="15" w:type="dxa"/>
              <w:right w:w="105" w:type="dxa"/>
            </w:tcMar>
            <w:vAlign w:val="center"/>
          </w:tcPr>
          <w:p w14:paraId="68858EED" w14:textId="792EF6C9" w:rsidR="00BD5454" w:rsidRPr="004F0961" w:rsidRDefault="00BD5454" w:rsidP="00BD5454">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 xml:space="preserve">Information on the </w:t>
            </w:r>
            <w:r w:rsidR="00036ED4" w:rsidRPr="004F0961">
              <w:rPr>
                <w:rFonts w:asciiTheme="majorHAnsi" w:eastAsia="Times New Roman" w:hAnsiTheme="majorHAnsi" w:cstheme="majorHAnsi"/>
                <w:b/>
                <w:bCs/>
                <w:noProof w:val="0"/>
                <w:sz w:val="20"/>
                <w:szCs w:val="20"/>
              </w:rPr>
              <w:t>Operation</w:t>
            </w:r>
          </w:p>
        </w:tc>
      </w:tr>
      <w:tr w:rsidR="00644BB9" w:rsidRPr="004F0961" w14:paraId="476EFF5A" w14:textId="77777777" w:rsidTr="001E0805">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5A958F74" w14:textId="6EB9A67C" w:rsidR="00644BB9" w:rsidRPr="004F0961" w:rsidRDefault="00644BB9" w:rsidP="006B379C">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Operation Name</w:t>
            </w:r>
            <w:r w:rsidR="008D5169" w:rsidRPr="004F0961">
              <w:rPr>
                <w:rFonts w:asciiTheme="majorHAnsi" w:eastAsia="Times New Roman" w:hAnsiTheme="majorHAnsi" w:cstheme="majorHAnsi"/>
                <w:b/>
                <w:bCs/>
                <w:noProof w:val="0"/>
                <w:sz w:val="20"/>
                <w:szCs w:val="20"/>
              </w:rPr>
              <w:t xml:space="preserve"> and Number</w:t>
            </w:r>
            <w:r w:rsidRPr="004F0961">
              <w:rPr>
                <w:rFonts w:asciiTheme="majorHAnsi" w:eastAsia="Times New Roman" w:hAnsiTheme="majorHAnsi" w:cstheme="majorHAnsi"/>
                <w:b/>
                <w:bCs/>
                <w:noProof w:val="0"/>
                <w:sz w:val="20"/>
                <w:szCs w:val="20"/>
              </w:rPr>
              <w:t>:</w:t>
            </w:r>
          </w:p>
        </w:tc>
        <w:tc>
          <w:tcPr>
            <w:tcW w:w="3510"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289430DE" w14:textId="183B49D8" w:rsidR="00FB7667" w:rsidRDefault="00FB7667" w:rsidP="00D3289E">
            <w:pPr>
              <w:jc w:val="center"/>
              <w:rPr>
                <w:rFonts w:asciiTheme="majorHAnsi" w:eastAsia="Times New Roman" w:hAnsiTheme="majorHAnsi" w:cstheme="majorHAnsi"/>
                <w:i/>
                <w:iCs/>
                <w:noProof w:val="0"/>
                <w:sz w:val="20"/>
                <w:szCs w:val="20"/>
              </w:rPr>
            </w:pPr>
            <w:r w:rsidRPr="00FB7667">
              <w:rPr>
                <w:rFonts w:asciiTheme="majorHAnsi" w:eastAsia="Times New Roman" w:hAnsiTheme="majorHAnsi" w:cstheme="majorHAnsi"/>
                <w:i/>
                <w:iCs/>
                <w:noProof w:val="0"/>
                <w:sz w:val="20"/>
                <w:szCs w:val="20"/>
              </w:rPr>
              <w:t>Sustainable Energy Facility (SEF) for the Eastern Caribbean</w:t>
            </w:r>
            <w:r w:rsidR="00E756A2">
              <w:rPr>
                <w:rFonts w:asciiTheme="majorHAnsi" w:eastAsia="Times New Roman" w:hAnsiTheme="majorHAnsi" w:cstheme="majorHAnsi"/>
                <w:i/>
                <w:iCs/>
                <w:noProof w:val="0"/>
                <w:sz w:val="20"/>
                <w:szCs w:val="20"/>
              </w:rPr>
              <w:t xml:space="preserve">: </w:t>
            </w:r>
          </w:p>
          <w:p w14:paraId="39DA0727" w14:textId="2EBAEA9D" w:rsidR="00E756A2" w:rsidRDefault="00D45827" w:rsidP="00D3289E">
            <w:pPr>
              <w:jc w:val="center"/>
              <w:rPr>
                <w:rFonts w:asciiTheme="majorHAnsi" w:eastAsia="Times New Roman" w:hAnsiTheme="majorHAnsi" w:cstheme="majorHAnsi"/>
                <w:i/>
                <w:iCs/>
                <w:noProof w:val="0"/>
                <w:sz w:val="20"/>
                <w:szCs w:val="20"/>
              </w:rPr>
            </w:pPr>
            <w:bookmarkStart w:id="0" w:name="_Hlk54167888"/>
            <w:r w:rsidRPr="004F0961">
              <w:rPr>
                <w:rFonts w:asciiTheme="majorHAnsi" w:eastAsia="Times New Roman" w:hAnsiTheme="majorHAnsi" w:cstheme="majorHAnsi"/>
                <w:i/>
                <w:iCs/>
                <w:noProof w:val="0"/>
                <w:sz w:val="20"/>
                <w:szCs w:val="20"/>
              </w:rPr>
              <w:t>RG-L1071</w:t>
            </w:r>
            <w:r w:rsidR="00F82DF9">
              <w:rPr>
                <w:rFonts w:asciiTheme="majorHAnsi" w:eastAsia="Times New Roman" w:hAnsiTheme="majorHAnsi" w:cstheme="majorHAnsi"/>
                <w:i/>
                <w:iCs/>
                <w:noProof w:val="0"/>
                <w:sz w:val="20"/>
                <w:szCs w:val="20"/>
              </w:rPr>
              <w:t xml:space="preserve">, </w:t>
            </w:r>
            <w:r w:rsidR="002169E7" w:rsidRPr="002169E7">
              <w:rPr>
                <w:rFonts w:asciiTheme="majorHAnsi" w:eastAsia="Times New Roman" w:hAnsiTheme="majorHAnsi" w:cstheme="majorHAnsi"/>
                <w:i/>
                <w:iCs/>
                <w:noProof w:val="0"/>
                <w:sz w:val="20"/>
                <w:szCs w:val="20"/>
              </w:rPr>
              <w:t>RG-G1004</w:t>
            </w:r>
            <w:r w:rsidR="00063740">
              <w:rPr>
                <w:rFonts w:asciiTheme="majorHAnsi" w:eastAsia="Times New Roman" w:hAnsiTheme="majorHAnsi" w:cstheme="majorHAnsi"/>
                <w:i/>
                <w:iCs/>
                <w:noProof w:val="0"/>
                <w:sz w:val="20"/>
                <w:szCs w:val="20"/>
              </w:rPr>
              <w:t>, RG-G1009,</w:t>
            </w:r>
          </w:p>
          <w:p w14:paraId="36AD3B1E" w14:textId="53C75C48" w:rsidR="00D45827" w:rsidRPr="004F0961" w:rsidRDefault="00E756A2" w:rsidP="00D3289E">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 xml:space="preserve">SEF expanded:  RG-L1112, </w:t>
            </w:r>
            <w:r w:rsidR="00063740">
              <w:rPr>
                <w:rFonts w:asciiTheme="majorHAnsi" w:eastAsia="Times New Roman" w:hAnsiTheme="majorHAnsi" w:cstheme="majorHAnsi"/>
                <w:i/>
                <w:iCs/>
                <w:noProof w:val="0"/>
                <w:sz w:val="20"/>
                <w:szCs w:val="20"/>
              </w:rPr>
              <w:t>RG-G1013</w:t>
            </w:r>
            <w:bookmarkEnd w:id="0"/>
          </w:p>
        </w:tc>
        <w:tc>
          <w:tcPr>
            <w:tcW w:w="2070" w:type="dxa"/>
            <w:tcBorders>
              <w:top w:val="single" w:sz="6" w:space="0" w:color="000000"/>
              <w:left w:val="single" w:sz="6" w:space="0" w:color="000000"/>
              <w:bottom w:val="single" w:sz="6" w:space="0" w:color="000000"/>
              <w:right w:val="single" w:sz="6" w:space="0" w:color="000000"/>
            </w:tcBorders>
            <w:vAlign w:val="center"/>
          </w:tcPr>
          <w:p w14:paraId="2EC1CFE8" w14:textId="58AB1BD3" w:rsidR="00644BB9" w:rsidRPr="004F0961" w:rsidRDefault="00D84615" w:rsidP="00577837">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Operation Country:</w:t>
            </w:r>
          </w:p>
        </w:tc>
        <w:tc>
          <w:tcPr>
            <w:tcW w:w="2708" w:type="dxa"/>
            <w:tcBorders>
              <w:top w:val="single" w:sz="6" w:space="0" w:color="000000"/>
              <w:left w:val="single" w:sz="6" w:space="0" w:color="000000"/>
              <w:bottom w:val="single" w:sz="6" w:space="0" w:color="000000"/>
              <w:right w:val="single" w:sz="6" w:space="0" w:color="000000"/>
            </w:tcBorders>
            <w:vAlign w:val="center"/>
          </w:tcPr>
          <w:p w14:paraId="5C51C13C" w14:textId="3AA66FFF" w:rsidR="00644BB9" w:rsidRPr="004F0961" w:rsidRDefault="003820E4" w:rsidP="00F753F0">
            <w:pPr>
              <w:jc w:val="center"/>
              <w:rPr>
                <w:rFonts w:asciiTheme="majorHAnsi" w:eastAsia="Times New Roman" w:hAnsiTheme="majorHAnsi" w:cstheme="majorHAnsi"/>
                <w:i/>
                <w:iCs/>
                <w:noProof w:val="0"/>
                <w:sz w:val="20"/>
                <w:szCs w:val="20"/>
              </w:rPr>
            </w:pPr>
            <w:r w:rsidRPr="004F0961">
              <w:rPr>
                <w:rFonts w:asciiTheme="majorHAnsi" w:eastAsia="Times New Roman" w:hAnsiTheme="majorHAnsi" w:cstheme="majorHAnsi"/>
                <w:i/>
                <w:iCs/>
                <w:noProof w:val="0"/>
                <w:sz w:val="20"/>
                <w:szCs w:val="20"/>
              </w:rPr>
              <w:t xml:space="preserve">Regional Operation (Sub project: </w:t>
            </w:r>
            <w:r w:rsidR="003365E7" w:rsidRPr="004F0961">
              <w:rPr>
                <w:rFonts w:asciiTheme="majorHAnsi" w:eastAsia="Times New Roman" w:hAnsiTheme="majorHAnsi" w:cstheme="majorHAnsi"/>
                <w:i/>
                <w:iCs/>
                <w:noProof w:val="0"/>
                <w:sz w:val="20"/>
                <w:szCs w:val="20"/>
              </w:rPr>
              <w:t>St. Vincent and the Grenadines</w:t>
            </w:r>
            <w:r w:rsidR="004F0961" w:rsidRPr="004F0961">
              <w:rPr>
                <w:rFonts w:asciiTheme="majorHAnsi" w:eastAsia="Times New Roman" w:hAnsiTheme="majorHAnsi" w:cstheme="majorHAnsi"/>
                <w:i/>
                <w:iCs/>
                <w:noProof w:val="0"/>
                <w:sz w:val="20"/>
                <w:szCs w:val="20"/>
              </w:rPr>
              <w:t>)</w:t>
            </w:r>
          </w:p>
        </w:tc>
      </w:tr>
      <w:tr w:rsidR="00BD5454" w:rsidRPr="004F0961" w14:paraId="571330DD" w14:textId="77777777" w:rsidTr="001E0805">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07C62FF3" w14:textId="45E4F501" w:rsidR="00BD5454" w:rsidRPr="004F0961" w:rsidRDefault="00BD5454" w:rsidP="006B379C">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IDB sector and type of operation:</w:t>
            </w:r>
          </w:p>
        </w:tc>
        <w:tc>
          <w:tcPr>
            <w:tcW w:w="3510"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34BA1780" w14:textId="1B7B6B06" w:rsidR="00BD5454" w:rsidRDefault="00083C5E" w:rsidP="00D3289E">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INE/INE</w:t>
            </w:r>
          </w:p>
          <w:p w14:paraId="592A286F" w14:textId="26860AD5" w:rsidR="00710D2D" w:rsidRPr="004F0961" w:rsidRDefault="00710D2D" w:rsidP="00D3289E">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 xml:space="preserve">Investment Loan – </w:t>
            </w:r>
            <w:r w:rsidRPr="00710D2D">
              <w:rPr>
                <w:rFonts w:asciiTheme="majorHAnsi" w:eastAsia="Times New Roman" w:hAnsiTheme="majorHAnsi" w:cstheme="majorHAnsi"/>
                <w:i/>
                <w:iCs/>
                <w:noProof w:val="0"/>
                <w:sz w:val="20"/>
                <w:szCs w:val="20"/>
              </w:rPr>
              <w:t xml:space="preserve">Global Credit Operation </w:t>
            </w:r>
            <w:r>
              <w:rPr>
                <w:rFonts w:asciiTheme="majorHAnsi" w:eastAsia="Times New Roman" w:hAnsiTheme="majorHAnsi" w:cstheme="majorHAnsi"/>
                <w:i/>
                <w:iCs/>
                <w:noProof w:val="0"/>
                <w:sz w:val="20"/>
                <w:szCs w:val="20"/>
              </w:rPr>
              <w:t>(</w:t>
            </w:r>
            <w:r w:rsidRPr="00710D2D">
              <w:rPr>
                <w:rFonts w:asciiTheme="majorHAnsi" w:eastAsia="Times New Roman" w:hAnsiTheme="majorHAnsi" w:cstheme="majorHAnsi"/>
                <w:i/>
                <w:iCs/>
                <w:noProof w:val="0"/>
                <w:sz w:val="20"/>
                <w:szCs w:val="20"/>
              </w:rPr>
              <w:t>GCR)</w:t>
            </w:r>
            <w:r w:rsidR="00063740">
              <w:rPr>
                <w:rFonts w:asciiTheme="majorHAnsi" w:eastAsia="Times New Roman" w:hAnsiTheme="majorHAnsi" w:cstheme="majorHAnsi"/>
                <w:i/>
                <w:iCs/>
                <w:noProof w:val="0"/>
                <w:sz w:val="20"/>
                <w:szCs w:val="20"/>
              </w:rPr>
              <w:t xml:space="preserve"> -Grant</w:t>
            </w:r>
          </w:p>
        </w:tc>
        <w:tc>
          <w:tcPr>
            <w:tcW w:w="2070" w:type="dxa"/>
            <w:tcBorders>
              <w:top w:val="single" w:sz="6" w:space="0" w:color="000000"/>
              <w:left w:val="single" w:sz="6" w:space="0" w:color="000000"/>
              <w:bottom w:val="single" w:sz="6" w:space="0" w:color="000000"/>
              <w:right w:val="single" w:sz="6" w:space="0" w:color="000000"/>
            </w:tcBorders>
            <w:vAlign w:val="center"/>
          </w:tcPr>
          <w:p w14:paraId="415E1C24" w14:textId="290466F2" w:rsidR="00BD5454" w:rsidRPr="004F0961" w:rsidRDefault="00BD5454" w:rsidP="00577837">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Name of project team leader:</w:t>
            </w:r>
          </w:p>
        </w:tc>
        <w:tc>
          <w:tcPr>
            <w:tcW w:w="2708" w:type="dxa"/>
            <w:tcBorders>
              <w:top w:val="single" w:sz="6" w:space="0" w:color="000000"/>
              <w:left w:val="single" w:sz="6" w:space="0" w:color="000000"/>
              <w:bottom w:val="single" w:sz="6" w:space="0" w:color="000000"/>
              <w:right w:val="single" w:sz="6" w:space="0" w:color="000000"/>
            </w:tcBorders>
            <w:vAlign w:val="center"/>
          </w:tcPr>
          <w:p w14:paraId="526A678B" w14:textId="43A94B9D" w:rsidR="00BD5454" w:rsidRPr="004F0961" w:rsidRDefault="00E36D65" w:rsidP="00F753F0">
            <w:pPr>
              <w:jc w:val="center"/>
              <w:rPr>
                <w:rFonts w:asciiTheme="majorHAnsi" w:eastAsia="Times New Roman" w:hAnsiTheme="majorHAnsi" w:cstheme="majorHAnsi"/>
                <w:i/>
                <w:iCs/>
                <w:noProof w:val="0"/>
                <w:sz w:val="20"/>
                <w:szCs w:val="20"/>
              </w:rPr>
            </w:pPr>
            <w:r w:rsidRPr="004F0961">
              <w:rPr>
                <w:rFonts w:asciiTheme="majorHAnsi" w:eastAsia="Times New Roman" w:hAnsiTheme="majorHAnsi" w:cstheme="majorHAnsi"/>
                <w:i/>
                <w:iCs/>
                <w:noProof w:val="0"/>
                <w:sz w:val="20"/>
                <w:szCs w:val="20"/>
              </w:rPr>
              <w:t>Christiaan Gischler</w:t>
            </w:r>
            <w:r w:rsidR="00710D2D">
              <w:rPr>
                <w:rFonts w:asciiTheme="majorHAnsi" w:eastAsia="Times New Roman" w:hAnsiTheme="majorHAnsi" w:cstheme="majorHAnsi"/>
                <w:i/>
                <w:iCs/>
                <w:noProof w:val="0"/>
                <w:sz w:val="20"/>
                <w:szCs w:val="20"/>
              </w:rPr>
              <w:t xml:space="preserve"> (INE/INE)</w:t>
            </w:r>
          </w:p>
        </w:tc>
      </w:tr>
      <w:tr w:rsidR="00BD5454" w:rsidRPr="004F0961" w14:paraId="7B0634CE" w14:textId="77777777" w:rsidTr="001E0805">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40DD68B9" w14:textId="12C65451" w:rsidR="00BD5454" w:rsidRPr="004F0961" w:rsidRDefault="00BD5454" w:rsidP="00BD5454">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 xml:space="preserve">Impact </w:t>
            </w:r>
            <w:r w:rsidR="008F06A3" w:rsidRPr="004F0961">
              <w:rPr>
                <w:rFonts w:asciiTheme="majorHAnsi" w:eastAsia="Times New Roman" w:hAnsiTheme="majorHAnsi" w:cstheme="majorHAnsi"/>
                <w:b/>
                <w:bCs/>
                <w:noProof w:val="0"/>
                <w:sz w:val="20"/>
                <w:szCs w:val="20"/>
              </w:rPr>
              <w:t xml:space="preserve">/ </w:t>
            </w:r>
            <w:r w:rsidRPr="004F0961">
              <w:rPr>
                <w:rFonts w:asciiTheme="majorHAnsi" w:eastAsia="Times New Roman" w:hAnsiTheme="majorHAnsi" w:cstheme="majorHAnsi"/>
                <w:b/>
                <w:bCs/>
                <w:noProof w:val="0"/>
                <w:sz w:val="20"/>
                <w:szCs w:val="20"/>
              </w:rPr>
              <w:t>Categorization:</w:t>
            </w:r>
          </w:p>
        </w:tc>
        <w:tc>
          <w:tcPr>
            <w:tcW w:w="3510"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09075BB9" w14:textId="329766BB" w:rsidR="00BD5454" w:rsidRPr="004F0961" w:rsidRDefault="00C03F47" w:rsidP="00BD5454">
            <w:pPr>
              <w:jc w:val="center"/>
              <w:rPr>
                <w:rFonts w:asciiTheme="majorHAnsi" w:eastAsia="Times New Roman" w:hAnsiTheme="majorHAnsi" w:cstheme="majorHAnsi"/>
                <w:i/>
                <w:iCs/>
                <w:noProof w:val="0"/>
                <w:sz w:val="20"/>
                <w:szCs w:val="20"/>
              </w:rPr>
            </w:pPr>
            <w:r w:rsidRPr="004F0961">
              <w:rPr>
                <w:rFonts w:asciiTheme="majorHAnsi" w:eastAsia="Times New Roman" w:hAnsiTheme="majorHAnsi" w:cstheme="majorHAnsi"/>
                <w:i/>
                <w:iCs/>
                <w:noProof w:val="0"/>
                <w:sz w:val="20"/>
                <w:szCs w:val="20"/>
              </w:rPr>
              <w:t>B</w:t>
            </w:r>
            <w:r w:rsidR="008F06A3" w:rsidRPr="004F0961">
              <w:rPr>
                <w:rFonts w:asciiTheme="majorHAnsi" w:eastAsia="Times New Roman" w:hAnsiTheme="majorHAnsi" w:cstheme="majorHAnsi"/>
                <w:i/>
                <w:iCs/>
                <w:noProof w:val="0"/>
                <w:sz w:val="20"/>
                <w:szCs w:val="20"/>
              </w:rPr>
              <w:t>.</w:t>
            </w:r>
            <w:r w:rsidRPr="004F0961">
              <w:rPr>
                <w:rFonts w:asciiTheme="majorHAnsi" w:eastAsia="Times New Roman" w:hAnsiTheme="majorHAnsi" w:cstheme="majorHAnsi"/>
                <w:i/>
                <w:iCs/>
                <w:noProof w:val="0"/>
                <w:sz w:val="20"/>
                <w:szCs w:val="20"/>
              </w:rPr>
              <w:t>13</w:t>
            </w:r>
          </w:p>
        </w:tc>
        <w:tc>
          <w:tcPr>
            <w:tcW w:w="2070" w:type="dxa"/>
            <w:tcBorders>
              <w:top w:val="single" w:sz="6" w:space="0" w:color="000000"/>
              <w:left w:val="single" w:sz="6" w:space="0" w:color="000000"/>
              <w:bottom w:val="single" w:sz="6" w:space="0" w:color="000000"/>
              <w:right w:val="single" w:sz="6" w:space="0" w:color="000000"/>
            </w:tcBorders>
          </w:tcPr>
          <w:p w14:paraId="7A568BDD" w14:textId="2ADAC94A" w:rsidR="00BD5454" w:rsidRPr="004F0961" w:rsidRDefault="00BD5454" w:rsidP="00BD5454">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Disaster Risk Classification:</w:t>
            </w:r>
          </w:p>
        </w:tc>
        <w:tc>
          <w:tcPr>
            <w:tcW w:w="2708" w:type="dxa"/>
            <w:tcBorders>
              <w:top w:val="single" w:sz="6" w:space="0" w:color="000000"/>
              <w:left w:val="single" w:sz="6" w:space="0" w:color="000000"/>
              <w:bottom w:val="single" w:sz="6" w:space="0" w:color="000000"/>
              <w:right w:val="single" w:sz="6" w:space="0" w:color="000000"/>
            </w:tcBorders>
            <w:vAlign w:val="center"/>
          </w:tcPr>
          <w:p w14:paraId="65409E4F" w14:textId="3CFD6577" w:rsidR="00BD5454" w:rsidRPr="004F0961" w:rsidRDefault="003820E4" w:rsidP="0030415D">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High</w:t>
            </w:r>
          </w:p>
        </w:tc>
      </w:tr>
      <w:tr w:rsidR="00BD5454" w:rsidRPr="004F0961" w14:paraId="5E58211C" w14:textId="77777777" w:rsidTr="001E0805">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3824C98F" w14:textId="5D55281B" w:rsidR="00BD5454" w:rsidRPr="004F0961" w:rsidRDefault="00BD5454" w:rsidP="00BD5454">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Borrower:</w:t>
            </w:r>
          </w:p>
        </w:tc>
        <w:tc>
          <w:tcPr>
            <w:tcW w:w="3510"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76553D33" w14:textId="61B9D856" w:rsidR="002313C5" w:rsidRPr="004F0961" w:rsidRDefault="002313C5" w:rsidP="00685EFA">
            <w:pPr>
              <w:jc w:val="center"/>
              <w:rPr>
                <w:rFonts w:asciiTheme="majorHAnsi" w:eastAsia="Times New Roman" w:hAnsiTheme="majorHAnsi" w:cstheme="majorHAnsi"/>
                <w:i/>
                <w:iCs/>
                <w:noProof w:val="0"/>
                <w:sz w:val="20"/>
                <w:szCs w:val="20"/>
              </w:rPr>
            </w:pPr>
            <w:r w:rsidRPr="004F0961">
              <w:rPr>
                <w:rFonts w:asciiTheme="majorHAnsi" w:eastAsia="Times New Roman" w:hAnsiTheme="majorHAnsi" w:cstheme="majorHAnsi"/>
                <w:i/>
                <w:iCs/>
                <w:noProof w:val="0"/>
                <w:sz w:val="20"/>
                <w:szCs w:val="20"/>
              </w:rPr>
              <w:t>Caribbean Development Bank</w:t>
            </w:r>
            <w:r w:rsidR="00685EFA">
              <w:rPr>
                <w:rFonts w:asciiTheme="majorHAnsi" w:eastAsia="Times New Roman" w:hAnsiTheme="majorHAnsi" w:cstheme="majorHAnsi"/>
                <w:i/>
                <w:iCs/>
                <w:noProof w:val="0"/>
                <w:sz w:val="20"/>
                <w:szCs w:val="20"/>
              </w:rPr>
              <w:t xml:space="preserve"> (CDB)</w:t>
            </w:r>
          </w:p>
        </w:tc>
        <w:tc>
          <w:tcPr>
            <w:tcW w:w="2070" w:type="dxa"/>
            <w:tcBorders>
              <w:top w:val="single" w:sz="6" w:space="0" w:color="000000"/>
              <w:left w:val="single" w:sz="6" w:space="0" w:color="000000"/>
              <w:bottom w:val="single" w:sz="6" w:space="0" w:color="000000"/>
              <w:right w:val="single" w:sz="6" w:space="0" w:color="000000"/>
            </w:tcBorders>
            <w:vAlign w:val="center"/>
          </w:tcPr>
          <w:p w14:paraId="3F19CDF4" w14:textId="37566CB4" w:rsidR="00BD5454" w:rsidRPr="004F0961" w:rsidRDefault="00BD5454" w:rsidP="00BD5454">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Executing Agency and name of responsible within the EA:</w:t>
            </w:r>
          </w:p>
        </w:tc>
        <w:tc>
          <w:tcPr>
            <w:tcW w:w="2708" w:type="dxa"/>
            <w:tcBorders>
              <w:top w:val="single" w:sz="6" w:space="0" w:color="000000"/>
              <w:left w:val="single" w:sz="6" w:space="0" w:color="000000"/>
              <w:bottom w:val="single" w:sz="6" w:space="0" w:color="000000"/>
              <w:right w:val="single" w:sz="6" w:space="0" w:color="000000"/>
            </w:tcBorders>
            <w:vAlign w:val="center"/>
          </w:tcPr>
          <w:p w14:paraId="5BFEF05E" w14:textId="5CBAA099" w:rsidR="00BD5454" w:rsidRPr="004F0961" w:rsidRDefault="003820E4" w:rsidP="0030415D">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Caribbean Development Bank</w:t>
            </w:r>
          </w:p>
        </w:tc>
      </w:tr>
      <w:tr w:rsidR="00FA10C2" w:rsidRPr="004F0961" w14:paraId="4D797AE2" w14:textId="77777777" w:rsidTr="001E0805">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4561BCFC" w14:textId="12053930" w:rsidR="00FA10C2" w:rsidRPr="004F0961" w:rsidRDefault="00FA10C2" w:rsidP="00BD5454">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IDB Loan US$ (and total project cost):</w:t>
            </w:r>
          </w:p>
        </w:tc>
        <w:tc>
          <w:tcPr>
            <w:tcW w:w="3510"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2B600702" w14:textId="77777777" w:rsidR="00FA10C2" w:rsidRDefault="00E756A2" w:rsidP="00BD5454">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 xml:space="preserve">RG-L1071: </w:t>
            </w:r>
            <w:r w:rsidR="003820E4" w:rsidRPr="0030415D">
              <w:rPr>
                <w:rFonts w:asciiTheme="majorHAnsi" w:eastAsia="Times New Roman" w:hAnsiTheme="majorHAnsi" w:cstheme="majorHAnsi"/>
                <w:i/>
                <w:iCs/>
                <w:noProof w:val="0"/>
                <w:sz w:val="20"/>
                <w:szCs w:val="20"/>
              </w:rPr>
              <w:t>US$20m (US$49.4m)</w:t>
            </w:r>
          </w:p>
          <w:p w14:paraId="3D9EF113" w14:textId="4FF76BF1" w:rsidR="00E756A2" w:rsidRDefault="00E756A2" w:rsidP="00BD5454">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RG-G1009: US$19</w:t>
            </w:r>
            <w:proofErr w:type="gramStart"/>
            <w:r>
              <w:rPr>
                <w:rFonts w:asciiTheme="majorHAnsi" w:eastAsia="Times New Roman" w:hAnsiTheme="majorHAnsi" w:cstheme="majorHAnsi"/>
                <w:i/>
                <w:iCs/>
                <w:noProof w:val="0"/>
                <w:sz w:val="20"/>
                <w:szCs w:val="20"/>
              </w:rPr>
              <w:t>m  (</w:t>
            </w:r>
            <w:proofErr w:type="gramEnd"/>
            <w:r>
              <w:rPr>
                <w:rFonts w:asciiTheme="majorHAnsi" w:eastAsia="Times New Roman" w:hAnsiTheme="majorHAnsi" w:cstheme="majorHAnsi"/>
                <w:i/>
                <w:iCs/>
                <w:noProof w:val="0"/>
                <w:sz w:val="20"/>
                <w:szCs w:val="20"/>
              </w:rPr>
              <w:t>US$19m)</w:t>
            </w:r>
          </w:p>
          <w:p w14:paraId="52A2E119" w14:textId="664B6B39" w:rsidR="00E756A2" w:rsidRDefault="00E756A2" w:rsidP="00BD5454">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RG-G1004: US$3m (US$3m)</w:t>
            </w:r>
          </w:p>
          <w:p w14:paraId="2DC97A10" w14:textId="77777777" w:rsidR="00E756A2" w:rsidRDefault="00E756A2" w:rsidP="00BD5454">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RG-L1112: US$60m (US$60m)</w:t>
            </w:r>
          </w:p>
          <w:p w14:paraId="7387BCEF" w14:textId="77777777" w:rsidR="00E756A2" w:rsidRDefault="00E756A2" w:rsidP="00BD5454">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RG-G1013: US$20m (US$20m)</w:t>
            </w:r>
          </w:p>
          <w:p w14:paraId="519BF84C" w14:textId="7640BE7F" w:rsidR="00E756A2" w:rsidRPr="0030415D" w:rsidRDefault="00E756A2" w:rsidP="00BD5454">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Total: US$ 122 (US$151.45m)</w:t>
            </w:r>
          </w:p>
        </w:tc>
        <w:tc>
          <w:tcPr>
            <w:tcW w:w="2070" w:type="dxa"/>
            <w:tcBorders>
              <w:top w:val="single" w:sz="6" w:space="0" w:color="000000"/>
              <w:left w:val="single" w:sz="6" w:space="0" w:color="000000"/>
              <w:bottom w:val="single" w:sz="6" w:space="0" w:color="000000"/>
              <w:right w:val="single" w:sz="6" w:space="0" w:color="000000"/>
            </w:tcBorders>
            <w:vAlign w:val="center"/>
          </w:tcPr>
          <w:p w14:paraId="679152E6" w14:textId="68C5950D" w:rsidR="00FA10C2" w:rsidRPr="004F0961" w:rsidRDefault="00FA10C2" w:rsidP="00BD5454">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Approval Date/ Eligibility Date:</w:t>
            </w:r>
          </w:p>
        </w:tc>
        <w:tc>
          <w:tcPr>
            <w:tcW w:w="2708" w:type="dxa"/>
            <w:tcBorders>
              <w:top w:val="single" w:sz="6" w:space="0" w:color="000000"/>
              <w:left w:val="single" w:sz="6" w:space="0" w:color="000000"/>
              <w:bottom w:val="single" w:sz="6" w:space="0" w:color="000000"/>
              <w:right w:val="single" w:sz="6" w:space="0" w:color="000000"/>
            </w:tcBorders>
            <w:vAlign w:val="center"/>
          </w:tcPr>
          <w:p w14:paraId="6B3FCAFE" w14:textId="77777777" w:rsidR="00A437D7" w:rsidRDefault="00A437D7" w:rsidP="0030415D">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SEF:</w:t>
            </w:r>
          </w:p>
          <w:p w14:paraId="497FA1DB" w14:textId="35A738EE" w:rsidR="00FA10C2" w:rsidRDefault="003820E4" w:rsidP="0030415D">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13 Oct 2015</w:t>
            </w:r>
            <w:r w:rsidR="00083C5E">
              <w:rPr>
                <w:rFonts w:asciiTheme="majorHAnsi" w:eastAsia="Times New Roman" w:hAnsiTheme="majorHAnsi" w:cstheme="majorHAnsi"/>
                <w:i/>
                <w:iCs/>
                <w:noProof w:val="0"/>
                <w:sz w:val="20"/>
                <w:szCs w:val="20"/>
              </w:rPr>
              <w:t xml:space="preserve"> (Approval)</w:t>
            </w:r>
          </w:p>
          <w:p w14:paraId="1F2A4438" w14:textId="77777777" w:rsidR="00083C5E" w:rsidRDefault="00083C5E" w:rsidP="00083C5E">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26 Apr 2016 (Eligibility)</w:t>
            </w:r>
          </w:p>
          <w:p w14:paraId="1B52942B" w14:textId="77777777" w:rsidR="00E756A2" w:rsidRDefault="00E756A2" w:rsidP="00083C5E">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SEF Expanded</w:t>
            </w:r>
            <w:r w:rsidR="00A437D7">
              <w:rPr>
                <w:rFonts w:asciiTheme="majorHAnsi" w:eastAsia="Times New Roman" w:hAnsiTheme="majorHAnsi" w:cstheme="majorHAnsi"/>
                <w:i/>
                <w:iCs/>
                <w:noProof w:val="0"/>
                <w:sz w:val="20"/>
                <w:szCs w:val="20"/>
              </w:rPr>
              <w:t>:</w:t>
            </w:r>
          </w:p>
          <w:p w14:paraId="53F7782E" w14:textId="61F4ED77" w:rsidR="00A437D7" w:rsidRDefault="00A437D7" w:rsidP="00083C5E">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12 Dec 2018 (Approval)</w:t>
            </w:r>
          </w:p>
          <w:p w14:paraId="4D2632D9" w14:textId="659CCDEF" w:rsidR="00A437D7" w:rsidRPr="004F0961" w:rsidRDefault="00A437D7" w:rsidP="00083C5E">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15 May 2020 (First Eligibility)</w:t>
            </w:r>
          </w:p>
        </w:tc>
      </w:tr>
      <w:tr w:rsidR="00D84615" w:rsidRPr="004F0961" w14:paraId="5EA5B574" w14:textId="77777777" w:rsidTr="001E0805">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486C17F4" w14:textId="583A085D" w:rsidR="00D84615" w:rsidRPr="004F0961" w:rsidRDefault="00D84615" w:rsidP="00D84615">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Percentage Disbursed:</w:t>
            </w:r>
          </w:p>
        </w:tc>
        <w:tc>
          <w:tcPr>
            <w:tcW w:w="3510"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14421E4E" w14:textId="285DF6C7" w:rsidR="00AE1180" w:rsidRDefault="00AE1180" w:rsidP="00AE1180">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RG-L1071: 36.09%</w:t>
            </w:r>
          </w:p>
          <w:p w14:paraId="47914E02" w14:textId="0D4D8397" w:rsidR="00AE1180" w:rsidRDefault="00AE1180" w:rsidP="00AE1180">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RG-G1009: 73.53%</w:t>
            </w:r>
          </w:p>
          <w:p w14:paraId="2C6A7AFE" w14:textId="5877AC03" w:rsidR="00AE1180" w:rsidRDefault="00AE1180" w:rsidP="00AE1180">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RG-G1004: 11.48%</w:t>
            </w:r>
          </w:p>
          <w:p w14:paraId="0BFD3B11" w14:textId="45BBBA14" w:rsidR="00AE1180" w:rsidRDefault="00AE1180" w:rsidP="00AE1180">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RG-L1112: 0%</w:t>
            </w:r>
          </w:p>
          <w:p w14:paraId="75DFBC09" w14:textId="659307BB" w:rsidR="00D84615" w:rsidRPr="00AE1180" w:rsidRDefault="00AE1180" w:rsidP="00AE1180">
            <w:pPr>
              <w:jc w:val="center"/>
              <w:rPr>
                <w:rFonts w:asciiTheme="majorHAnsi" w:eastAsia="Times New Roman" w:hAnsiTheme="majorHAnsi" w:cstheme="majorHAnsi"/>
                <w:i/>
                <w:iCs/>
                <w:noProof w:val="0"/>
                <w:sz w:val="20"/>
                <w:szCs w:val="20"/>
                <w:lang w:val="it-IT"/>
              </w:rPr>
            </w:pPr>
            <w:r>
              <w:rPr>
                <w:rFonts w:asciiTheme="majorHAnsi" w:eastAsia="Times New Roman" w:hAnsiTheme="majorHAnsi" w:cstheme="majorHAnsi"/>
                <w:i/>
                <w:iCs/>
                <w:noProof w:val="0"/>
                <w:sz w:val="20"/>
                <w:szCs w:val="20"/>
              </w:rPr>
              <w:t>RG-G1013: 10%</w:t>
            </w:r>
          </w:p>
        </w:tc>
        <w:tc>
          <w:tcPr>
            <w:tcW w:w="2070" w:type="dxa"/>
            <w:tcBorders>
              <w:top w:val="single" w:sz="6" w:space="0" w:color="000000"/>
              <w:left w:val="single" w:sz="6" w:space="0" w:color="000000"/>
              <w:bottom w:val="single" w:sz="6" w:space="0" w:color="000000"/>
              <w:right w:val="single" w:sz="6" w:space="0" w:color="000000"/>
            </w:tcBorders>
            <w:vAlign w:val="center"/>
          </w:tcPr>
          <w:p w14:paraId="233DA1A7" w14:textId="17882AFF" w:rsidR="00D84615" w:rsidRPr="004F0961" w:rsidRDefault="00D84615" w:rsidP="00D84615">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Date of First disbursement:</w:t>
            </w:r>
          </w:p>
        </w:tc>
        <w:tc>
          <w:tcPr>
            <w:tcW w:w="2708" w:type="dxa"/>
            <w:tcBorders>
              <w:top w:val="single" w:sz="6" w:space="0" w:color="000000"/>
              <w:left w:val="single" w:sz="6" w:space="0" w:color="000000"/>
              <w:bottom w:val="single" w:sz="6" w:space="0" w:color="000000"/>
              <w:right w:val="single" w:sz="6" w:space="0" w:color="000000"/>
            </w:tcBorders>
            <w:vAlign w:val="center"/>
          </w:tcPr>
          <w:p w14:paraId="0E6F4B3A" w14:textId="728B1557" w:rsidR="00D84615" w:rsidRPr="004F0961" w:rsidRDefault="003820E4" w:rsidP="0030415D">
            <w:pPr>
              <w:jc w:val="cente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28 Jun 2018</w:t>
            </w:r>
          </w:p>
        </w:tc>
      </w:tr>
      <w:tr w:rsidR="00626728" w:rsidRPr="004F0961" w14:paraId="69D674DF" w14:textId="77777777" w:rsidTr="001E0805">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6F6E7105" w14:textId="18DF428F" w:rsidR="00626728" w:rsidRPr="004F0961" w:rsidRDefault="00626728" w:rsidP="00D84615">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Applicable Policies and Directives:</w:t>
            </w:r>
          </w:p>
        </w:tc>
        <w:tc>
          <w:tcPr>
            <w:tcW w:w="8288" w:type="dxa"/>
            <w:gridSpan w:val="3"/>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59749DCC" w14:textId="7B63B047" w:rsidR="00626728" w:rsidRPr="004F0961" w:rsidRDefault="000F176A" w:rsidP="00DE2299">
            <w:pPr>
              <w:rPr>
                <w:rFonts w:asciiTheme="majorHAnsi" w:eastAsia="Times New Roman" w:hAnsiTheme="majorHAnsi" w:cstheme="majorHAnsi"/>
                <w:noProof w:val="0"/>
                <w:sz w:val="20"/>
                <w:szCs w:val="20"/>
              </w:rPr>
            </w:pPr>
            <w:r w:rsidRPr="00074CC4">
              <w:rPr>
                <w:rFonts w:asciiTheme="majorHAnsi" w:eastAsia="Times New Roman" w:hAnsiTheme="majorHAnsi" w:cstheme="majorHAnsi"/>
                <w:noProof w:val="0"/>
                <w:sz w:val="20"/>
                <w:szCs w:val="20"/>
              </w:rPr>
              <w:t>OP-703 (B.1, B.2, B.3, B.4, B.5, B.6, B.7, B.8, B.9, B.10, B.11, B.13, B.17); OP-704, OP-761</w:t>
            </w:r>
          </w:p>
        </w:tc>
      </w:tr>
      <w:tr w:rsidR="00D84615" w:rsidRPr="004F0961" w14:paraId="43CF3CCF" w14:textId="77777777" w:rsidTr="00D84615">
        <w:trPr>
          <w:trHeight w:val="339"/>
        </w:trPr>
        <w:tc>
          <w:tcPr>
            <w:tcW w:w="9990" w:type="dxa"/>
            <w:gridSpan w:val="4"/>
            <w:tcBorders>
              <w:top w:val="single" w:sz="6" w:space="0" w:color="000000"/>
              <w:left w:val="single" w:sz="6" w:space="0" w:color="000000"/>
              <w:bottom w:val="single" w:sz="6" w:space="0" w:color="000000"/>
              <w:right w:val="single" w:sz="6" w:space="0" w:color="000000"/>
            </w:tcBorders>
            <w:shd w:val="clear" w:color="auto" w:fill="DBE5F1" w:themeFill="accent1" w:themeFillTint="33"/>
            <w:tcMar>
              <w:top w:w="15" w:type="dxa"/>
              <w:left w:w="105" w:type="dxa"/>
              <w:bottom w:w="15" w:type="dxa"/>
              <w:right w:w="105" w:type="dxa"/>
            </w:tcMar>
            <w:vAlign w:val="center"/>
          </w:tcPr>
          <w:p w14:paraId="2785670E" w14:textId="25CEBE7F" w:rsidR="00D84615" w:rsidRPr="004F0961" w:rsidRDefault="00D84615" w:rsidP="00D84615">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 xml:space="preserve">Information on the Supervision </w:t>
            </w:r>
          </w:p>
        </w:tc>
      </w:tr>
      <w:tr w:rsidR="00D84615" w:rsidRPr="004F0961" w14:paraId="70F46093" w14:textId="77777777" w:rsidTr="00A743B1">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526F4258" w14:textId="7E9FC01F" w:rsidR="00D84615" w:rsidRPr="004F0961" w:rsidRDefault="00D84615" w:rsidP="00D84615">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noProof w:val="0"/>
                <w:sz w:val="20"/>
                <w:szCs w:val="20"/>
              </w:rPr>
              <w:t>Type and scope of supervision</w:t>
            </w:r>
            <w:r w:rsidR="004C62B9" w:rsidRPr="004F0961">
              <w:rPr>
                <w:rFonts w:asciiTheme="majorHAnsi" w:eastAsia="Times New Roman" w:hAnsiTheme="majorHAnsi" w:cstheme="majorHAnsi"/>
                <w:b/>
                <w:noProof w:val="0"/>
                <w:sz w:val="20"/>
                <w:szCs w:val="20"/>
              </w:rPr>
              <w:t xml:space="preserve"> of the operation</w:t>
            </w:r>
            <w:r w:rsidRPr="004F0961">
              <w:rPr>
                <w:rFonts w:asciiTheme="majorHAnsi" w:eastAsia="Times New Roman" w:hAnsiTheme="majorHAnsi" w:cstheme="majorHAnsi"/>
                <w:b/>
                <w:noProof w:val="0"/>
                <w:sz w:val="20"/>
                <w:szCs w:val="20"/>
              </w:rPr>
              <w:t>:</w:t>
            </w:r>
          </w:p>
        </w:tc>
        <w:tc>
          <w:tcPr>
            <w:tcW w:w="3510"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7226E675" w14:textId="224E9B66" w:rsidR="00D84615" w:rsidRPr="0030415D" w:rsidRDefault="00D84615" w:rsidP="00D84615">
            <w:pPr>
              <w:rPr>
                <w:rFonts w:asciiTheme="majorHAnsi" w:eastAsia="Times New Roman" w:hAnsiTheme="majorHAnsi" w:cstheme="majorHAnsi"/>
                <w:i/>
                <w:noProof w:val="0"/>
                <w:sz w:val="20"/>
                <w:szCs w:val="20"/>
              </w:rPr>
            </w:pPr>
          </w:p>
          <w:p w14:paraId="3B06E46C" w14:textId="0C46E42C" w:rsidR="00A743B1" w:rsidRPr="00193460" w:rsidRDefault="008C0A22" w:rsidP="001E0805">
            <w:pPr>
              <w:pStyle w:val="ListParagraph"/>
              <w:numPr>
                <w:ilvl w:val="3"/>
                <w:numId w:val="46"/>
              </w:numPr>
              <w:ind w:left="165" w:hanging="165"/>
              <w:rPr>
                <w:rFonts w:asciiTheme="majorHAnsi" w:eastAsia="Times New Roman" w:hAnsiTheme="majorHAnsi" w:cstheme="majorHAnsi"/>
                <w:i/>
                <w:noProof w:val="0"/>
                <w:sz w:val="20"/>
                <w:szCs w:val="20"/>
              </w:rPr>
            </w:pPr>
            <w:r w:rsidRPr="00193460">
              <w:rPr>
                <w:rFonts w:asciiTheme="majorHAnsi" w:eastAsia="Times New Roman" w:hAnsiTheme="majorHAnsi" w:cstheme="majorHAnsi"/>
                <w:i/>
                <w:noProof w:val="0"/>
                <w:sz w:val="20"/>
                <w:szCs w:val="20"/>
              </w:rPr>
              <w:t>Online supervision mission of</w:t>
            </w:r>
            <w:r w:rsidR="004F0961" w:rsidRPr="00193460">
              <w:rPr>
                <w:rFonts w:asciiTheme="majorHAnsi" w:eastAsia="Times New Roman" w:hAnsiTheme="majorHAnsi" w:cstheme="majorHAnsi"/>
                <w:i/>
                <w:noProof w:val="0"/>
                <w:sz w:val="20"/>
                <w:szCs w:val="20"/>
              </w:rPr>
              <w:t xml:space="preserve"> one sub-project in execution (St.</w:t>
            </w:r>
            <w:r w:rsidR="0030415D" w:rsidRPr="00193460">
              <w:rPr>
                <w:rFonts w:asciiTheme="majorHAnsi" w:eastAsia="Times New Roman" w:hAnsiTheme="majorHAnsi" w:cstheme="majorHAnsi"/>
                <w:i/>
                <w:noProof w:val="0"/>
                <w:sz w:val="20"/>
                <w:szCs w:val="20"/>
              </w:rPr>
              <w:t xml:space="preserve"> </w:t>
            </w:r>
            <w:r w:rsidR="004F0961" w:rsidRPr="00193460">
              <w:rPr>
                <w:rFonts w:asciiTheme="majorHAnsi" w:eastAsia="Times New Roman" w:hAnsiTheme="majorHAnsi" w:cstheme="majorHAnsi"/>
                <w:i/>
                <w:noProof w:val="0"/>
                <w:sz w:val="20"/>
                <w:szCs w:val="20"/>
              </w:rPr>
              <w:t>Vincent)</w:t>
            </w:r>
            <w:r w:rsidR="00B20D75">
              <w:rPr>
                <w:rFonts w:asciiTheme="majorHAnsi" w:eastAsia="Times New Roman" w:hAnsiTheme="majorHAnsi" w:cstheme="majorHAnsi"/>
                <w:i/>
                <w:noProof w:val="0"/>
                <w:sz w:val="20"/>
                <w:szCs w:val="20"/>
              </w:rPr>
              <w:t>, joint with CDB</w:t>
            </w:r>
          </w:p>
          <w:p w14:paraId="4F4FA66D" w14:textId="16AC1BB7" w:rsidR="00A743B1" w:rsidRPr="00A743B1" w:rsidRDefault="008C0A22" w:rsidP="001E0805">
            <w:pPr>
              <w:pStyle w:val="ListParagraph"/>
              <w:numPr>
                <w:ilvl w:val="3"/>
                <w:numId w:val="46"/>
              </w:numPr>
              <w:ind w:left="165" w:hanging="165"/>
              <w:rPr>
                <w:rFonts w:asciiTheme="majorHAnsi" w:eastAsia="Times New Roman" w:hAnsiTheme="majorHAnsi" w:cstheme="majorHAnsi"/>
                <w:i/>
                <w:noProof w:val="0"/>
                <w:sz w:val="20"/>
                <w:szCs w:val="20"/>
              </w:rPr>
            </w:pPr>
            <w:r w:rsidRPr="00A743B1">
              <w:rPr>
                <w:rFonts w:asciiTheme="majorHAnsi" w:eastAsia="Times New Roman" w:hAnsiTheme="majorHAnsi" w:cstheme="majorHAnsi"/>
                <w:i/>
                <w:noProof w:val="0"/>
                <w:sz w:val="20"/>
                <w:szCs w:val="20"/>
              </w:rPr>
              <w:t>Several follow-up exchanges with the CDB and SVGCL to supervise and document closure of previously outstanding E&amp;S actions.</w:t>
            </w:r>
          </w:p>
          <w:p w14:paraId="1151077C" w14:textId="7F8F9833" w:rsidR="00D84615" w:rsidRPr="00A743B1" w:rsidRDefault="008C0A22" w:rsidP="001E0805">
            <w:pPr>
              <w:pStyle w:val="ListParagraph"/>
              <w:numPr>
                <w:ilvl w:val="3"/>
                <w:numId w:val="46"/>
              </w:numPr>
              <w:ind w:left="165" w:hanging="165"/>
              <w:rPr>
                <w:rFonts w:asciiTheme="majorHAnsi" w:eastAsia="Times New Roman" w:hAnsiTheme="majorHAnsi" w:cstheme="majorHAnsi"/>
                <w:noProof w:val="0"/>
                <w:sz w:val="20"/>
                <w:szCs w:val="20"/>
              </w:rPr>
            </w:pPr>
            <w:r w:rsidRPr="00A743B1">
              <w:rPr>
                <w:rFonts w:asciiTheme="majorHAnsi" w:eastAsia="Times New Roman" w:hAnsiTheme="majorHAnsi" w:cstheme="majorHAnsi"/>
                <w:i/>
                <w:noProof w:val="0"/>
                <w:sz w:val="20"/>
                <w:szCs w:val="20"/>
              </w:rPr>
              <w:t>Desk review of Monitoring and Evaluation Reports, Stakeholder Engagement Reports, RAP closure audit report, Compliance memos from SVGCL</w:t>
            </w:r>
          </w:p>
        </w:tc>
        <w:tc>
          <w:tcPr>
            <w:tcW w:w="2070" w:type="dxa"/>
            <w:tcBorders>
              <w:top w:val="single" w:sz="6" w:space="0" w:color="000000"/>
              <w:left w:val="single" w:sz="6" w:space="0" w:color="000000"/>
              <w:bottom w:val="single" w:sz="6" w:space="0" w:color="000000"/>
              <w:right w:val="single" w:sz="6" w:space="0" w:color="000000"/>
            </w:tcBorders>
            <w:vAlign w:val="center"/>
          </w:tcPr>
          <w:p w14:paraId="6C98C788" w14:textId="6CD4224B" w:rsidR="00D84615" w:rsidRPr="004F0961" w:rsidRDefault="00D84615" w:rsidP="00D84615">
            <w:pPr>
              <w:rPr>
                <w:rFonts w:asciiTheme="majorHAnsi" w:eastAsia="Times New Roman" w:hAnsiTheme="majorHAnsi" w:cstheme="majorHAnsi"/>
                <w:b/>
                <w:noProof w:val="0"/>
                <w:sz w:val="20"/>
                <w:szCs w:val="20"/>
              </w:rPr>
            </w:pPr>
            <w:r w:rsidRPr="004F0961">
              <w:rPr>
                <w:rFonts w:asciiTheme="majorHAnsi" w:eastAsia="Times New Roman" w:hAnsiTheme="majorHAnsi" w:cstheme="majorHAnsi"/>
                <w:b/>
                <w:noProof w:val="0"/>
                <w:sz w:val="20"/>
                <w:szCs w:val="20"/>
              </w:rPr>
              <w:t>Author(s) of the Supervision:</w:t>
            </w:r>
          </w:p>
        </w:tc>
        <w:tc>
          <w:tcPr>
            <w:tcW w:w="2708" w:type="dxa"/>
            <w:tcBorders>
              <w:top w:val="single" w:sz="6" w:space="0" w:color="000000"/>
              <w:left w:val="single" w:sz="6" w:space="0" w:color="000000"/>
              <w:bottom w:val="single" w:sz="6" w:space="0" w:color="000000"/>
              <w:right w:val="single" w:sz="6" w:space="0" w:color="000000"/>
            </w:tcBorders>
            <w:vAlign w:val="center"/>
          </w:tcPr>
          <w:p w14:paraId="3C2BA20B" w14:textId="42CED17E" w:rsidR="00D84615" w:rsidRPr="00F753F0" w:rsidRDefault="00C17466" w:rsidP="001E0805">
            <w:pPr>
              <w:rPr>
                <w:rFonts w:asciiTheme="majorHAnsi" w:eastAsia="Times New Roman" w:hAnsiTheme="majorHAnsi" w:cstheme="majorHAnsi"/>
                <w:i/>
                <w:iCs/>
                <w:noProof w:val="0"/>
                <w:sz w:val="20"/>
                <w:szCs w:val="20"/>
              </w:rPr>
            </w:pPr>
            <w:r>
              <w:rPr>
                <w:rFonts w:asciiTheme="majorHAnsi" w:eastAsia="Times New Roman" w:hAnsiTheme="majorHAnsi" w:cstheme="majorHAnsi"/>
                <w:i/>
                <w:iCs/>
                <w:noProof w:val="0"/>
                <w:sz w:val="20"/>
                <w:szCs w:val="20"/>
              </w:rPr>
              <w:t>Luciano C. Bornholdt</w:t>
            </w:r>
            <w:r w:rsidR="00904C3F" w:rsidRPr="00F753F0">
              <w:rPr>
                <w:rFonts w:asciiTheme="majorHAnsi" w:eastAsia="Times New Roman" w:hAnsiTheme="majorHAnsi" w:cstheme="majorHAnsi"/>
                <w:i/>
                <w:iCs/>
                <w:noProof w:val="0"/>
                <w:sz w:val="20"/>
                <w:szCs w:val="20"/>
              </w:rPr>
              <w:t xml:space="preserve"> and Natasha</w:t>
            </w:r>
            <w:r w:rsidR="0030415D" w:rsidRPr="00F753F0">
              <w:rPr>
                <w:rFonts w:asciiTheme="majorHAnsi" w:eastAsia="Times New Roman" w:hAnsiTheme="majorHAnsi" w:cstheme="majorHAnsi"/>
                <w:i/>
                <w:iCs/>
                <w:noProof w:val="0"/>
                <w:sz w:val="20"/>
                <w:szCs w:val="20"/>
              </w:rPr>
              <w:t xml:space="preserve"> Kate</w:t>
            </w:r>
            <w:r w:rsidR="00904C3F" w:rsidRPr="00F753F0">
              <w:rPr>
                <w:rFonts w:asciiTheme="majorHAnsi" w:eastAsia="Times New Roman" w:hAnsiTheme="majorHAnsi" w:cstheme="majorHAnsi"/>
                <w:i/>
                <w:iCs/>
                <w:noProof w:val="0"/>
                <w:sz w:val="20"/>
                <w:szCs w:val="20"/>
              </w:rPr>
              <w:t xml:space="preserve"> Ward</w:t>
            </w:r>
            <w:r w:rsidR="00710D2D">
              <w:rPr>
                <w:rFonts w:asciiTheme="majorHAnsi" w:eastAsia="Times New Roman" w:hAnsiTheme="majorHAnsi" w:cstheme="majorHAnsi"/>
                <w:i/>
                <w:iCs/>
                <w:noProof w:val="0"/>
                <w:sz w:val="20"/>
                <w:szCs w:val="20"/>
              </w:rPr>
              <w:t xml:space="preserve"> (VPS/ESG)</w:t>
            </w:r>
          </w:p>
        </w:tc>
      </w:tr>
      <w:tr w:rsidR="00D84615" w:rsidRPr="004F0961" w14:paraId="02FD0201" w14:textId="77777777" w:rsidTr="00551E91">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61B10EA5" w14:textId="54C96407" w:rsidR="00D84615" w:rsidRPr="004F0961" w:rsidRDefault="00D84615" w:rsidP="00D84615">
            <w:pPr>
              <w:rPr>
                <w:rFonts w:asciiTheme="majorHAnsi" w:eastAsia="Times New Roman" w:hAnsiTheme="majorHAnsi" w:cstheme="majorHAnsi"/>
                <w:b/>
                <w:noProof w:val="0"/>
                <w:sz w:val="20"/>
                <w:szCs w:val="20"/>
              </w:rPr>
            </w:pPr>
            <w:r w:rsidRPr="004F0961">
              <w:rPr>
                <w:rFonts w:asciiTheme="majorHAnsi" w:eastAsia="Times New Roman" w:hAnsiTheme="majorHAnsi" w:cstheme="majorHAnsi"/>
                <w:b/>
                <w:noProof w:val="0"/>
                <w:sz w:val="20"/>
                <w:szCs w:val="20"/>
              </w:rPr>
              <w:t>Mission/Review Dates:</w:t>
            </w:r>
          </w:p>
        </w:tc>
        <w:tc>
          <w:tcPr>
            <w:tcW w:w="3510"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252B3F9A" w14:textId="5D06B119" w:rsidR="008C0A22" w:rsidRDefault="001C3239" w:rsidP="00DA3694">
            <w:pPr>
              <w:rPr>
                <w:rFonts w:asciiTheme="majorHAnsi" w:eastAsia="Times New Roman" w:hAnsiTheme="majorHAnsi" w:cstheme="majorHAnsi"/>
                <w:noProof w:val="0"/>
                <w:sz w:val="20"/>
                <w:szCs w:val="20"/>
              </w:rPr>
            </w:pPr>
            <w:r>
              <w:rPr>
                <w:rFonts w:asciiTheme="majorHAnsi" w:eastAsia="Times New Roman" w:hAnsiTheme="majorHAnsi" w:cstheme="majorHAnsi"/>
                <w:noProof w:val="0"/>
                <w:sz w:val="20"/>
                <w:szCs w:val="20"/>
              </w:rPr>
              <w:t xml:space="preserve">Virtual </w:t>
            </w:r>
            <w:r w:rsidR="008C0A22">
              <w:rPr>
                <w:rFonts w:asciiTheme="majorHAnsi" w:eastAsia="Times New Roman" w:hAnsiTheme="majorHAnsi" w:cstheme="majorHAnsi"/>
                <w:noProof w:val="0"/>
                <w:sz w:val="20"/>
                <w:szCs w:val="20"/>
              </w:rPr>
              <w:t>Mission: April 17</w:t>
            </w:r>
            <w:r w:rsidR="008C0A22" w:rsidRPr="00193460">
              <w:rPr>
                <w:rFonts w:asciiTheme="majorHAnsi" w:eastAsia="Times New Roman" w:hAnsiTheme="majorHAnsi" w:cstheme="majorHAnsi"/>
                <w:noProof w:val="0"/>
                <w:sz w:val="20"/>
                <w:szCs w:val="20"/>
                <w:vertAlign w:val="superscript"/>
              </w:rPr>
              <w:t>th</w:t>
            </w:r>
            <w:r w:rsidR="008C0A22">
              <w:rPr>
                <w:rFonts w:asciiTheme="majorHAnsi" w:eastAsia="Times New Roman" w:hAnsiTheme="majorHAnsi" w:cstheme="majorHAnsi"/>
                <w:noProof w:val="0"/>
                <w:sz w:val="20"/>
                <w:szCs w:val="20"/>
              </w:rPr>
              <w:t>, 2020</w:t>
            </w:r>
          </w:p>
          <w:p w14:paraId="608BB1B9" w14:textId="61CF5625" w:rsidR="00D84615" w:rsidRPr="004F0961" w:rsidRDefault="008C0A22" w:rsidP="00DA3694">
            <w:pPr>
              <w:rPr>
                <w:rFonts w:asciiTheme="majorHAnsi" w:eastAsia="Times New Roman" w:hAnsiTheme="majorHAnsi" w:cstheme="majorHAnsi"/>
                <w:noProof w:val="0"/>
                <w:sz w:val="20"/>
                <w:szCs w:val="20"/>
              </w:rPr>
            </w:pPr>
            <w:r>
              <w:rPr>
                <w:rFonts w:asciiTheme="majorHAnsi" w:eastAsia="Times New Roman" w:hAnsiTheme="majorHAnsi" w:cstheme="majorHAnsi"/>
                <w:noProof w:val="0"/>
                <w:sz w:val="20"/>
                <w:szCs w:val="20"/>
              </w:rPr>
              <w:t>Review</w:t>
            </w:r>
            <w:r w:rsidR="00B20D75">
              <w:rPr>
                <w:rFonts w:asciiTheme="majorHAnsi" w:eastAsia="Times New Roman" w:hAnsiTheme="majorHAnsi" w:cstheme="majorHAnsi"/>
                <w:noProof w:val="0"/>
                <w:sz w:val="20"/>
                <w:szCs w:val="20"/>
              </w:rPr>
              <w:t xml:space="preserve"> process,</w:t>
            </w:r>
            <w:r>
              <w:rPr>
                <w:rFonts w:asciiTheme="majorHAnsi" w:eastAsia="Times New Roman" w:hAnsiTheme="majorHAnsi" w:cstheme="majorHAnsi"/>
                <w:noProof w:val="0"/>
                <w:sz w:val="20"/>
                <w:szCs w:val="20"/>
              </w:rPr>
              <w:t xml:space="preserve"> engagement</w:t>
            </w:r>
            <w:r w:rsidR="00B20D75">
              <w:rPr>
                <w:rFonts w:asciiTheme="majorHAnsi" w:eastAsia="Times New Roman" w:hAnsiTheme="majorHAnsi" w:cstheme="majorHAnsi"/>
                <w:noProof w:val="0"/>
                <w:sz w:val="20"/>
                <w:szCs w:val="20"/>
              </w:rPr>
              <w:t xml:space="preserve"> and following up on action plan</w:t>
            </w:r>
            <w:r>
              <w:rPr>
                <w:rFonts w:asciiTheme="majorHAnsi" w:eastAsia="Times New Roman" w:hAnsiTheme="majorHAnsi" w:cstheme="majorHAnsi"/>
                <w:noProof w:val="0"/>
                <w:sz w:val="20"/>
                <w:szCs w:val="20"/>
              </w:rPr>
              <w:t>: March-October 2020</w:t>
            </w:r>
          </w:p>
        </w:tc>
        <w:tc>
          <w:tcPr>
            <w:tcW w:w="2070" w:type="dxa"/>
            <w:tcBorders>
              <w:top w:val="single" w:sz="6" w:space="0" w:color="000000"/>
              <w:left w:val="single" w:sz="6" w:space="0" w:color="000000"/>
              <w:bottom w:val="single" w:sz="6" w:space="0" w:color="000000"/>
              <w:right w:val="single" w:sz="6" w:space="0" w:color="000000"/>
            </w:tcBorders>
            <w:vAlign w:val="center"/>
          </w:tcPr>
          <w:p w14:paraId="6A2DE19E" w14:textId="5CBE93BA" w:rsidR="00D84615" w:rsidRPr="004F0961" w:rsidRDefault="00D84615" w:rsidP="00D84615">
            <w:pPr>
              <w:rPr>
                <w:rFonts w:asciiTheme="majorHAnsi" w:eastAsia="Times New Roman" w:hAnsiTheme="majorHAnsi" w:cstheme="majorHAnsi"/>
                <w:b/>
                <w:noProof w:val="0"/>
                <w:sz w:val="20"/>
                <w:szCs w:val="20"/>
              </w:rPr>
            </w:pPr>
            <w:r w:rsidRPr="004F0961">
              <w:rPr>
                <w:rFonts w:asciiTheme="majorHAnsi" w:eastAsia="Times New Roman" w:hAnsiTheme="majorHAnsi" w:cstheme="majorHAnsi"/>
                <w:b/>
                <w:noProof w:val="0"/>
                <w:sz w:val="20"/>
                <w:szCs w:val="20"/>
              </w:rPr>
              <w:t>ESG reviewer:</w:t>
            </w:r>
          </w:p>
        </w:tc>
        <w:tc>
          <w:tcPr>
            <w:tcW w:w="2708" w:type="dxa"/>
            <w:tcBorders>
              <w:top w:val="single" w:sz="6" w:space="0" w:color="000000"/>
              <w:left w:val="single" w:sz="6" w:space="0" w:color="000000"/>
              <w:bottom w:val="single" w:sz="6" w:space="0" w:color="000000"/>
              <w:right w:val="single" w:sz="6" w:space="0" w:color="000000"/>
            </w:tcBorders>
            <w:vAlign w:val="center"/>
          </w:tcPr>
          <w:p w14:paraId="7D355B50" w14:textId="7DE8A9A7" w:rsidR="00D84615" w:rsidRPr="004F0961" w:rsidRDefault="00C17466" w:rsidP="00DA3694">
            <w:pPr>
              <w:rPr>
                <w:rFonts w:asciiTheme="majorHAnsi" w:eastAsia="Times New Roman" w:hAnsiTheme="majorHAnsi" w:cstheme="majorHAnsi"/>
                <w:i/>
                <w:noProof w:val="0"/>
                <w:sz w:val="20"/>
                <w:szCs w:val="20"/>
              </w:rPr>
            </w:pPr>
            <w:r>
              <w:rPr>
                <w:rFonts w:asciiTheme="majorHAnsi" w:eastAsia="Times New Roman" w:hAnsiTheme="majorHAnsi" w:cstheme="majorHAnsi"/>
                <w:i/>
                <w:noProof w:val="0"/>
                <w:sz w:val="20"/>
                <w:szCs w:val="20"/>
              </w:rPr>
              <w:t>Steven C. Collins</w:t>
            </w:r>
            <w:r w:rsidR="00A743B1">
              <w:rPr>
                <w:rFonts w:asciiTheme="majorHAnsi" w:eastAsia="Times New Roman" w:hAnsiTheme="majorHAnsi" w:cstheme="majorHAnsi"/>
                <w:i/>
                <w:noProof w:val="0"/>
                <w:sz w:val="20"/>
                <w:szCs w:val="20"/>
              </w:rPr>
              <w:t xml:space="preserve"> (VPS/ESG)</w:t>
            </w:r>
          </w:p>
        </w:tc>
      </w:tr>
      <w:tr w:rsidR="00D84615" w:rsidRPr="004F0961" w14:paraId="5121AA6B" w14:textId="77777777" w:rsidTr="00551E91">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61854701" w14:textId="504D6417" w:rsidR="00D84615" w:rsidRPr="004F0961" w:rsidRDefault="00D84615" w:rsidP="00D84615">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lastRenderedPageBreak/>
              <w:t>Supervision Compliance Rating:</w:t>
            </w:r>
          </w:p>
        </w:tc>
        <w:tc>
          <w:tcPr>
            <w:tcW w:w="8288" w:type="dxa"/>
            <w:gridSpan w:val="3"/>
            <w:tcBorders>
              <w:top w:val="single" w:sz="6" w:space="0" w:color="000000"/>
              <w:left w:val="single" w:sz="6" w:space="0" w:color="000000"/>
              <w:bottom w:val="single" w:sz="6" w:space="0" w:color="000000"/>
              <w:right w:val="single" w:sz="6" w:space="0" w:color="000000"/>
            </w:tcBorders>
            <w:vAlign w:val="center"/>
          </w:tcPr>
          <w:p w14:paraId="714140DC" w14:textId="790AF571" w:rsidR="00D84615" w:rsidRDefault="00D84615" w:rsidP="00D84615">
            <w:pPr>
              <w:rPr>
                <w:rFonts w:asciiTheme="majorHAnsi" w:eastAsia="Times New Roman" w:hAnsiTheme="majorHAnsi" w:cstheme="majorHAnsi"/>
                <w:b/>
                <w:i/>
                <w:noProof w:val="0"/>
                <w:sz w:val="20"/>
                <w:szCs w:val="20"/>
              </w:rPr>
            </w:pPr>
            <w:r w:rsidRPr="004F0961">
              <w:rPr>
                <w:rFonts w:asciiTheme="majorHAnsi" w:eastAsia="Times New Roman" w:hAnsiTheme="majorHAnsi" w:cstheme="majorHAnsi"/>
                <w:b/>
                <w:i/>
                <w:noProof w:val="0"/>
                <w:sz w:val="20"/>
                <w:szCs w:val="20"/>
              </w:rPr>
              <w:t>Partially Satisfactory</w:t>
            </w:r>
          </w:p>
          <w:p w14:paraId="5101E7AD" w14:textId="699E05AF" w:rsidR="00D84615" w:rsidRPr="004F0961" w:rsidRDefault="0030415D" w:rsidP="00D84615">
            <w:pPr>
              <w:rPr>
                <w:rFonts w:asciiTheme="majorHAnsi" w:eastAsia="Times New Roman" w:hAnsiTheme="majorHAnsi" w:cstheme="majorHAnsi"/>
                <w:i/>
                <w:noProof w:val="0"/>
                <w:sz w:val="20"/>
                <w:szCs w:val="20"/>
              </w:rPr>
            </w:pPr>
            <w:r w:rsidRPr="00062498">
              <w:rPr>
                <w:rFonts w:asciiTheme="majorHAnsi" w:eastAsia="Times New Roman" w:hAnsiTheme="majorHAnsi" w:cstheme="majorHAnsi"/>
                <w:bCs/>
                <w:i/>
                <w:noProof w:val="0"/>
                <w:sz w:val="20"/>
                <w:szCs w:val="20"/>
              </w:rPr>
              <w:t>Previous: Partially Satisfactory</w:t>
            </w:r>
            <w:r>
              <w:rPr>
                <w:rFonts w:asciiTheme="majorHAnsi" w:eastAsia="Times New Roman" w:hAnsiTheme="majorHAnsi" w:cstheme="majorHAnsi"/>
                <w:i/>
                <w:noProof w:val="0"/>
                <w:sz w:val="20"/>
                <w:szCs w:val="20"/>
              </w:rPr>
              <w:t xml:space="preserve"> (13 </w:t>
            </w:r>
            <w:r w:rsidR="00C17466">
              <w:rPr>
                <w:rFonts w:asciiTheme="majorHAnsi" w:eastAsia="Times New Roman" w:hAnsiTheme="majorHAnsi" w:cstheme="majorHAnsi"/>
                <w:i/>
                <w:noProof w:val="0"/>
                <w:sz w:val="20"/>
                <w:szCs w:val="20"/>
              </w:rPr>
              <w:t>November</w:t>
            </w:r>
            <w:r>
              <w:rPr>
                <w:rFonts w:asciiTheme="majorHAnsi" w:eastAsia="Times New Roman" w:hAnsiTheme="majorHAnsi" w:cstheme="majorHAnsi"/>
                <w:i/>
                <w:noProof w:val="0"/>
                <w:sz w:val="20"/>
                <w:szCs w:val="20"/>
              </w:rPr>
              <w:t xml:space="preserve"> 201</w:t>
            </w:r>
            <w:r w:rsidR="00C17466">
              <w:rPr>
                <w:rFonts w:asciiTheme="majorHAnsi" w:eastAsia="Times New Roman" w:hAnsiTheme="majorHAnsi" w:cstheme="majorHAnsi"/>
                <w:i/>
                <w:noProof w:val="0"/>
                <w:sz w:val="20"/>
                <w:szCs w:val="20"/>
              </w:rPr>
              <w:t>9</w:t>
            </w:r>
            <w:r>
              <w:rPr>
                <w:rFonts w:asciiTheme="majorHAnsi" w:eastAsia="Times New Roman" w:hAnsiTheme="majorHAnsi" w:cstheme="majorHAnsi"/>
                <w:i/>
                <w:noProof w:val="0"/>
                <w:sz w:val="20"/>
                <w:szCs w:val="20"/>
              </w:rPr>
              <w:t>)</w:t>
            </w:r>
          </w:p>
        </w:tc>
      </w:tr>
      <w:tr w:rsidR="00D84615" w:rsidRPr="004F0961" w14:paraId="23FD1A2B" w14:textId="77777777" w:rsidTr="00551E91">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660A90AF" w14:textId="37005C93" w:rsidR="00D84615" w:rsidRPr="004F0961" w:rsidRDefault="00D84615" w:rsidP="00D84615">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 xml:space="preserve">Rationale for Supervision Compliance Rating </w:t>
            </w:r>
          </w:p>
        </w:tc>
        <w:tc>
          <w:tcPr>
            <w:tcW w:w="8288" w:type="dxa"/>
            <w:gridSpan w:val="3"/>
            <w:tcBorders>
              <w:top w:val="single" w:sz="6" w:space="0" w:color="000000"/>
              <w:left w:val="single" w:sz="6" w:space="0" w:color="000000"/>
              <w:bottom w:val="single" w:sz="6" w:space="0" w:color="000000"/>
              <w:right w:val="single" w:sz="6" w:space="0" w:color="000000"/>
            </w:tcBorders>
            <w:vAlign w:val="center"/>
          </w:tcPr>
          <w:p w14:paraId="3E5D7FD0" w14:textId="6E9BDE22" w:rsidR="00D84615" w:rsidRPr="00DA3694" w:rsidRDefault="00F753F0" w:rsidP="00D84615">
            <w:pPr>
              <w:rPr>
                <w:rFonts w:asciiTheme="majorHAnsi" w:eastAsia="Times New Roman" w:hAnsiTheme="majorHAnsi" w:cstheme="majorHAnsi"/>
                <w:i/>
                <w:color w:val="333333"/>
                <w:sz w:val="20"/>
                <w:szCs w:val="20"/>
                <w:shd w:val="clear" w:color="auto" w:fill="FFFFFF"/>
              </w:rPr>
            </w:pPr>
            <w:r w:rsidRPr="00DA3694">
              <w:rPr>
                <w:rFonts w:asciiTheme="majorHAnsi" w:eastAsia="Times New Roman" w:hAnsiTheme="majorHAnsi" w:cstheme="majorHAnsi"/>
                <w:i/>
                <w:color w:val="333333"/>
                <w:sz w:val="20"/>
                <w:szCs w:val="20"/>
                <w:shd w:val="clear" w:color="auto" w:fill="FFFFFF"/>
              </w:rPr>
              <w:t xml:space="preserve">While CDB staff are experienced in environmental and social risk management, there is limited geothermal experience. In the case of St. Vincent </w:t>
            </w:r>
            <w:r w:rsidR="00F3156D" w:rsidRPr="00DA3694">
              <w:rPr>
                <w:rFonts w:asciiTheme="majorHAnsi" w:eastAsia="Times New Roman" w:hAnsiTheme="majorHAnsi" w:cstheme="majorHAnsi"/>
                <w:i/>
                <w:color w:val="333333"/>
                <w:sz w:val="20"/>
                <w:szCs w:val="20"/>
                <w:shd w:val="clear" w:color="auto" w:fill="FFFFFF"/>
              </w:rPr>
              <w:t>(subproject in execution)</w:t>
            </w:r>
            <w:r w:rsidRPr="00DA3694">
              <w:rPr>
                <w:rFonts w:asciiTheme="majorHAnsi" w:eastAsia="Times New Roman" w:hAnsiTheme="majorHAnsi" w:cstheme="majorHAnsi"/>
                <w:i/>
                <w:color w:val="333333"/>
                <w:sz w:val="20"/>
                <w:szCs w:val="20"/>
                <w:shd w:val="clear" w:color="auto" w:fill="FFFFFF"/>
              </w:rPr>
              <w:t>,</w:t>
            </w:r>
            <w:r w:rsidR="00F3156D" w:rsidRPr="00DA3694">
              <w:rPr>
                <w:rFonts w:asciiTheme="majorHAnsi" w:eastAsia="Times New Roman" w:hAnsiTheme="majorHAnsi" w:cstheme="majorHAnsi"/>
                <w:i/>
                <w:color w:val="333333"/>
                <w:sz w:val="20"/>
                <w:szCs w:val="20"/>
                <w:shd w:val="clear" w:color="auto" w:fill="FFFFFF"/>
              </w:rPr>
              <w:t xml:space="preserve"> the social aspects of the program have been well implemented (</w:t>
            </w:r>
            <w:r w:rsidR="001C3239" w:rsidRPr="00DA3694">
              <w:rPr>
                <w:rFonts w:asciiTheme="majorHAnsi" w:eastAsia="Times New Roman" w:hAnsiTheme="majorHAnsi" w:cstheme="majorHAnsi"/>
                <w:i/>
                <w:color w:val="333333"/>
                <w:sz w:val="20"/>
                <w:szCs w:val="20"/>
                <w:shd w:val="clear" w:color="auto" w:fill="FFFFFF"/>
              </w:rPr>
              <w:t>albeit</w:t>
            </w:r>
            <w:r w:rsidR="00F3156D" w:rsidRPr="00DA3694">
              <w:rPr>
                <w:rFonts w:asciiTheme="majorHAnsi" w:eastAsia="Times New Roman" w:hAnsiTheme="majorHAnsi" w:cstheme="majorHAnsi"/>
                <w:i/>
                <w:color w:val="333333"/>
                <w:sz w:val="20"/>
                <w:szCs w:val="20"/>
                <w:shd w:val="clear" w:color="auto" w:fill="FFFFFF"/>
              </w:rPr>
              <w:t xml:space="preserve"> slowly) however</w:t>
            </w:r>
            <w:r w:rsidRPr="00DA3694">
              <w:rPr>
                <w:rFonts w:asciiTheme="majorHAnsi" w:eastAsia="Times New Roman" w:hAnsiTheme="majorHAnsi" w:cstheme="majorHAnsi"/>
                <w:i/>
                <w:color w:val="333333"/>
                <w:sz w:val="20"/>
                <w:szCs w:val="20"/>
                <w:shd w:val="clear" w:color="auto" w:fill="FFFFFF"/>
              </w:rPr>
              <w:t xml:space="preserve"> environmental monitoring had not been fully implemented despite the fact that drilling </w:t>
            </w:r>
            <w:r w:rsidR="00BF3CB8" w:rsidRPr="00DA3694">
              <w:rPr>
                <w:rFonts w:asciiTheme="majorHAnsi" w:eastAsia="Times New Roman" w:hAnsiTheme="majorHAnsi" w:cstheme="majorHAnsi"/>
                <w:i/>
                <w:color w:val="333333"/>
                <w:sz w:val="20"/>
                <w:szCs w:val="20"/>
                <w:shd w:val="clear" w:color="auto" w:fill="FFFFFF"/>
              </w:rPr>
              <w:t>has been completed</w:t>
            </w:r>
            <w:r w:rsidR="00F3156D" w:rsidRPr="00DA3694">
              <w:rPr>
                <w:rFonts w:asciiTheme="majorHAnsi" w:eastAsia="Times New Roman" w:hAnsiTheme="majorHAnsi" w:cstheme="majorHAnsi"/>
                <w:i/>
                <w:color w:val="333333"/>
                <w:sz w:val="20"/>
                <w:szCs w:val="20"/>
                <w:shd w:val="clear" w:color="auto" w:fill="FFFFFF"/>
              </w:rPr>
              <w:t xml:space="preserve">. </w:t>
            </w:r>
            <w:r w:rsidR="00BF3CB8" w:rsidRPr="00DA3694">
              <w:rPr>
                <w:rFonts w:asciiTheme="majorHAnsi" w:eastAsia="Times New Roman" w:hAnsiTheme="majorHAnsi" w:cstheme="majorHAnsi"/>
                <w:i/>
                <w:color w:val="333333"/>
                <w:sz w:val="20"/>
                <w:szCs w:val="20"/>
                <w:shd w:val="clear" w:color="auto" w:fill="FFFFFF"/>
              </w:rPr>
              <w:t>The effort in ensuring the projects correct</w:t>
            </w:r>
            <w:r w:rsidR="004D52E7">
              <w:rPr>
                <w:rFonts w:asciiTheme="majorHAnsi" w:eastAsia="Times New Roman" w:hAnsiTheme="majorHAnsi" w:cstheme="majorHAnsi"/>
                <w:i/>
                <w:color w:val="333333"/>
                <w:sz w:val="20"/>
                <w:szCs w:val="20"/>
                <w:shd w:val="clear" w:color="auto" w:fill="FFFFFF"/>
              </w:rPr>
              <w:t xml:space="preserve"> noncompliance</w:t>
            </w:r>
            <w:r w:rsidR="00BF3CB8" w:rsidRPr="00DA3694">
              <w:rPr>
                <w:rFonts w:asciiTheme="majorHAnsi" w:eastAsia="Times New Roman" w:hAnsiTheme="majorHAnsi" w:cstheme="majorHAnsi"/>
                <w:i/>
                <w:color w:val="333333"/>
                <w:sz w:val="20"/>
                <w:szCs w:val="20"/>
                <w:shd w:val="clear" w:color="auto" w:fill="FFFFFF"/>
              </w:rPr>
              <w:t xml:space="preserve"> issues</w:t>
            </w:r>
            <w:r w:rsidR="000475FC">
              <w:rPr>
                <w:rFonts w:asciiTheme="majorHAnsi" w:eastAsia="Times New Roman" w:hAnsiTheme="majorHAnsi" w:cstheme="majorHAnsi"/>
                <w:i/>
                <w:color w:val="333333"/>
                <w:sz w:val="20"/>
                <w:szCs w:val="20"/>
                <w:shd w:val="clear" w:color="auto" w:fill="FFFFFF"/>
              </w:rPr>
              <w:t>, as well as project preparation,</w:t>
            </w:r>
            <w:r w:rsidR="00BF3CB8" w:rsidRPr="00DA3694">
              <w:rPr>
                <w:rFonts w:asciiTheme="majorHAnsi" w:eastAsia="Times New Roman" w:hAnsiTheme="majorHAnsi" w:cstheme="majorHAnsi"/>
                <w:i/>
                <w:color w:val="333333"/>
                <w:sz w:val="20"/>
                <w:szCs w:val="20"/>
                <w:shd w:val="clear" w:color="auto" w:fill="FFFFFF"/>
              </w:rPr>
              <w:t xml:space="preserve"> ha</w:t>
            </w:r>
            <w:r w:rsidR="000475FC">
              <w:rPr>
                <w:rFonts w:asciiTheme="majorHAnsi" w:eastAsia="Times New Roman" w:hAnsiTheme="majorHAnsi" w:cstheme="majorHAnsi"/>
                <w:i/>
                <w:color w:val="333333"/>
                <w:sz w:val="20"/>
                <w:szCs w:val="20"/>
                <w:shd w:val="clear" w:color="auto" w:fill="FFFFFF"/>
              </w:rPr>
              <w:t>ve</w:t>
            </w:r>
            <w:r w:rsidR="00BF3CB8" w:rsidRPr="00DA3694">
              <w:rPr>
                <w:rFonts w:asciiTheme="majorHAnsi" w:eastAsia="Times New Roman" w:hAnsiTheme="majorHAnsi" w:cstheme="majorHAnsi"/>
                <w:i/>
                <w:color w:val="333333"/>
                <w:sz w:val="20"/>
                <w:szCs w:val="20"/>
                <w:shd w:val="clear" w:color="auto" w:fill="FFFFFF"/>
              </w:rPr>
              <w:t xml:space="preserve"> in many instances </w:t>
            </w:r>
            <w:r w:rsidR="001C3239" w:rsidRPr="00DA3694">
              <w:rPr>
                <w:rFonts w:asciiTheme="majorHAnsi" w:eastAsia="Times New Roman" w:hAnsiTheme="majorHAnsi" w:cstheme="majorHAnsi"/>
                <w:i/>
                <w:color w:val="333333"/>
                <w:sz w:val="20"/>
                <w:szCs w:val="20"/>
                <w:shd w:val="clear" w:color="auto" w:fill="FFFFFF"/>
              </w:rPr>
              <w:t>been led by IDB rather than CDB.</w:t>
            </w:r>
            <w:r w:rsidR="00BF3CB8" w:rsidRPr="00DA3694">
              <w:rPr>
                <w:rFonts w:asciiTheme="majorHAnsi" w:eastAsia="Times New Roman" w:hAnsiTheme="majorHAnsi" w:cstheme="majorHAnsi"/>
                <w:i/>
                <w:color w:val="333333"/>
                <w:sz w:val="20"/>
                <w:szCs w:val="20"/>
                <w:shd w:val="clear" w:color="auto" w:fill="FFFFFF"/>
              </w:rPr>
              <w:t xml:space="preserve"> </w:t>
            </w:r>
            <w:r w:rsidR="000475FC">
              <w:rPr>
                <w:rFonts w:asciiTheme="majorHAnsi" w:eastAsia="Times New Roman" w:hAnsiTheme="majorHAnsi" w:cstheme="majorHAnsi"/>
                <w:i/>
                <w:color w:val="333333"/>
                <w:sz w:val="20"/>
                <w:szCs w:val="20"/>
                <w:shd w:val="clear" w:color="auto" w:fill="FFFFFF"/>
              </w:rPr>
              <w:t xml:space="preserve"> A</w:t>
            </w:r>
            <w:r w:rsidR="000475FC" w:rsidRPr="00DA3694">
              <w:rPr>
                <w:rFonts w:asciiTheme="majorHAnsi" w:eastAsia="Times New Roman" w:hAnsiTheme="majorHAnsi" w:cstheme="majorHAnsi"/>
                <w:i/>
                <w:color w:val="333333"/>
                <w:sz w:val="20"/>
                <w:szCs w:val="20"/>
                <w:shd w:val="clear" w:color="auto" w:fill="FFFFFF"/>
              </w:rPr>
              <w:t>ccording to the ROP</w:t>
            </w:r>
            <w:r w:rsidR="000475FC">
              <w:rPr>
                <w:rFonts w:asciiTheme="majorHAnsi" w:eastAsia="Times New Roman" w:hAnsiTheme="majorHAnsi" w:cstheme="majorHAnsi"/>
                <w:i/>
                <w:color w:val="333333"/>
                <w:sz w:val="20"/>
                <w:szCs w:val="20"/>
                <w:shd w:val="clear" w:color="auto" w:fill="FFFFFF"/>
              </w:rPr>
              <w:t>, CDB</w:t>
            </w:r>
            <w:r w:rsidR="000475FC" w:rsidRPr="00DA3694">
              <w:rPr>
                <w:rFonts w:asciiTheme="majorHAnsi" w:eastAsia="Times New Roman" w:hAnsiTheme="majorHAnsi" w:cstheme="majorHAnsi"/>
                <w:i/>
                <w:color w:val="333333"/>
                <w:sz w:val="20"/>
                <w:szCs w:val="20"/>
                <w:shd w:val="clear" w:color="auto" w:fill="FFFFFF"/>
              </w:rPr>
              <w:t xml:space="preserve"> should take the lead and submit to IDB, rather than vice versa</w:t>
            </w:r>
            <w:r w:rsidR="000475FC">
              <w:rPr>
                <w:rFonts w:asciiTheme="majorHAnsi" w:eastAsia="Times New Roman" w:hAnsiTheme="majorHAnsi" w:cstheme="majorHAnsi"/>
                <w:i/>
                <w:color w:val="333333"/>
                <w:sz w:val="20"/>
                <w:szCs w:val="20"/>
                <w:shd w:val="clear" w:color="auto" w:fill="FFFFFF"/>
                <w:lang w:val="it-IT"/>
              </w:rPr>
              <w:t xml:space="preserve"> </w:t>
            </w:r>
            <w:r w:rsidR="00F3156D" w:rsidRPr="00DA3694">
              <w:rPr>
                <w:rFonts w:asciiTheme="majorHAnsi" w:eastAsia="Times New Roman" w:hAnsiTheme="majorHAnsi" w:cstheme="majorHAnsi"/>
                <w:i/>
                <w:color w:val="333333"/>
                <w:sz w:val="20"/>
                <w:szCs w:val="20"/>
                <w:shd w:val="clear" w:color="auto" w:fill="FFFFFF"/>
              </w:rPr>
              <w:t>Furthermore, CDB E&amp;S specialists are unable to maintain the pace required for some of the projects</w:t>
            </w:r>
            <w:r w:rsidR="000475FC">
              <w:rPr>
                <w:rFonts w:asciiTheme="majorHAnsi" w:eastAsia="Times New Roman" w:hAnsiTheme="majorHAnsi" w:cstheme="majorHAnsi"/>
                <w:i/>
                <w:color w:val="333333"/>
                <w:sz w:val="20"/>
                <w:szCs w:val="20"/>
                <w:shd w:val="clear" w:color="auto" w:fill="FFFFFF"/>
              </w:rPr>
              <w:t>, possibly due to lack of sufficient human resources</w:t>
            </w:r>
            <w:r w:rsidR="00F3156D" w:rsidRPr="00DA3694">
              <w:rPr>
                <w:rFonts w:asciiTheme="majorHAnsi" w:eastAsia="Times New Roman" w:hAnsiTheme="majorHAnsi" w:cstheme="majorHAnsi"/>
                <w:i/>
                <w:color w:val="333333"/>
                <w:sz w:val="20"/>
                <w:szCs w:val="20"/>
                <w:shd w:val="clear" w:color="auto" w:fill="FFFFFF"/>
              </w:rPr>
              <w:t>,</w:t>
            </w:r>
            <w:r w:rsidR="000475FC">
              <w:rPr>
                <w:rFonts w:asciiTheme="majorHAnsi" w:eastAsia="Times New Roman" w:hAnsiTheme="majorHAnsi" w:cstheme="majorHAnsi"/>
                <w:i/>
                <w:color w:val="333333"/>
                <w:sz w:val="20"/>
                <w:szCs w:val="20"/>
                <w:shd w:val="clear" w:color="auto" w:fill="FFFFFF"/>
              </w:rPr>
              <w:t xml:space="preserve"> resulting in </w:t>
            </w:r>
            <w:r w:rsidR="000475FC">
              <w:t xml:space="preserve"> </w:t>
            </w:r>
            <w:r w:rsidR="000475FC" w:rsidRPr="000475FC">
              <w:rPr>
                <w:rFonts w:asciiTheme="majorHAnsi" w:eastAsia="Times New Roman" w:hAnsiTheme="majorHAnsi" w:cstheme="majorHAnsi"/>
                <w:i/>
                <w:color w:val="333333"/>
                <w:sz w:val="20"/>
                <w:szCs w:val="20"/>
                <w:shd w:val="clear" w:color="auto" w:fill="FFFFFF"/>
              </w:rPr>
              <w:t>delayed reviews of E&amp;S documents in preparation</w:t>
            </w:r>
            <w:r w:rsidR="000475FC">
              <w:rPr>
                <w:rFonts w:asciiTheme="majorHAnsi" w:eastAsia="Times New Roman" w:hAnsiTheme="majorHAnsi" w:cstheme="majorHAnsi"/>
                <w:i/>
                <w:color w:val="333333"/>
                <w:sz w:val="20"/>
                <w:szCs w:val="20"/>
                <w:shd w:val="clear" w:color="auto" w:fill="FFFFFF"/>
              </w:rPr>
              <w:t xml:space="preserve">. </w:t>
            </w:r>
          </w:p>
        </w:tc>
      </w:tr>
      <w:tr w:rsidR="00D84615" w:rsidRPr="004F0961" w14:paraId="0BD39B61" w14:textId="77777777" w:rsidTr="00551E91">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5CA4D41B" w14:textId="7042243E" w:rsidR="00D84615" w:rsidRPr="004F0961" w:rsidRDefault="00D84615" w:rsidP="00D84615">
            <w:pPr>
              <w:rPr>
                <w:rFonts w:asciiTheme="majorHAnsi" w:eastAsia="Times New Roman" w:hAnsiTheme="majorHAnsi" w:cstheme="majorHAnsi"/>
                <w:bCs/>
                <w:noProof w:val="0"/>
                <w:sz w:val="20"/>
                <w:szCs w:val="20"/>
              </w:rPr>
            </w:pPr>
            <w:r w:rsidRPr="004F0961">
              <w:rPr>
                <w:rFonts w:asciiTheme="majorHAnsi" w:eastAsia="Times New Roman" w:hAnsiTheme="majorHAnsi" w:cstheme="majorHAnsi"/>
                <w:b/>
                <w:bCs/>
                <w:noProof w:val="0"/>
                <w:sz w:val="20"/>
                <w:szCs w:val="20"/>
              </w:rPr>
              <w:t>Key Recommended Actions</w:t>
            </w:r>
          </w:p>
        </w:tc>
        <w:tc>
          <w:tcPr>
            <w:tcW w:w="8288" w:type="dxa"/>
            <w:gridSpan w:val="3"/>
            <w:tcBorders>
              <w:top w:val="single" w:sz="6" w:space="0" w:color="000000"/>
              <w:left w:val="single" w:sz="6" w:space="0" w:color="000000"/>
              <w:bottom w:val="single" w:sz="6" w:space="0" w:color="000000"/>
              <w:right w:val="single" w:sz="6" w:space="0" w:color="000000"/>
            </w:tcBorders>
            <w:vAlign w:val="center"/>
          </w:tcPr>
          <w:p w14:paraId="3A69E71A" w14:textId="6172EFDF" w:rsidR="00F3156D" w:rsidRPr="00DA3694" w:rsidRDefault="00BF3CB8" w:rsidP="00D84615">
            <w:pPr>
              <w:rPr>
                <w:rFonts w:asciiTheme="majorHAnsi" w:eastAsia="Times New Roman" w:hAnsiTheme="majorHAnsi" w:cstheme="majorHAnsi"/>
                <w:bCs/>
                <w:i/>
                <w:noProof w:val="0"/>
                <w:sz w:val="20"/>
                <w:szCs w:val="20"/>
                <w:lang w:val="it-IT"/>
              </w:rPr>
            </w:pPr>
            <w:r w:rsidRPr="00DA3694">
              <w:rPr>
                <w:rFonts w:asciiTheme="majorHAnsi" w:eastAsia="Times New Roman" w:hAnsiTheme="majorHAnsi" w:cstheme="majorHAnsi"/>
                <w:bCs/>
                <w:i/>
                <w:noProof w:val="0"/>
                <w:sz w:val="20"/>
                <w:szCs w:val="20"/>
              </w:rPr>
              <w:t>IDB recommends th</w:t>
            </w:r>
            <w:r w:rsidR="00DC4CBA" w:rsidRPr="00DA3694">
              <w:rPr>
                <w:rFonts w:asciiTheme="majorHAnsi" w:eastAsia="Times New Roman" w:hAnsiTheme="majorHAnsi" w:cstheme="majorHAnsi"/>
                <w:bCs/>
                <w:i/>
                <w:noProof w:val="0"/>
                <w:sz w:val="20"/>
                <w:szCs w:val="20"/>
              </w:rPr>
              <w:t>at</w:t>
            </w:r>
            <w:r w:rsidRPr="00DA3694">
              <w:rPr>
                <w:rFonts w:asciiTheme="majorHAnsi" w:eastAsia="Times New Roman" w:hAnsiTheme="majorHAnsi" w:cstheme="majorHAnsi"/>
                <w:bCs/>
                <w:i/>
                <w:noProof w:val="0"/>
                <w:sz w:val="20"/>
                <w:szCs w:val="20"/>
              </w:rPr>
              <w:t xml:space="preserve"> </w:t>
            </w:r>
            <w:r w:rsidR="00DC4CBA" w:rsidRPr="00DA3694">
              <w:rPr>
                <w:rFonts w:asciiTheme="majorHAnsi" w:eastAsia="Times New Roman" w:hAnsiTheme="majorHAnsi" w:cstheme="majorHAnsi"/>
                <w:bCs/>
                <w:i/>
                <w:noProof w:val="0"/>
                <w:sz w:val="20"/>
                <w:szCs w:val="20"/>
              </w:rPr>
              <w:t xml:space="preserve">in the case of St. Vincent, </w:t>
            </w:r>
            <w:r w:rsidRPr="00DA3694">
              <w:rPr>
                <w:rFonts w:asciiTheme="majorHAnsi" w:eastAsia="Times New Roman" w:hAnsiTheme="majorHAnsi" w:cstheme="majorHAnsi"/>
                <w:bCs/>
                <w:i/>
                <w:noProof w:val="0"/>
                <w:sz w:val="20"/>
                <w:szCs w:val="20"/>
              </w:rPr>
              <w:t>CDB follows closely on the preparation of the ESHS plan for demobilization, ensuring adequate management of aspects which were delayed during drilling</w:t>
            </w:r>
            <w:r w:rsidR="000475FC">
              <w:rPr>
                <w:rFonts w:asciiTheme="majorHAnsi" w:eastAsia="Times New Roman" w:hAnsiTheme="majorHAnsi" w:cstheme="majorHAnsi"/>
                <w:bCs/>
                <w:i/>
                <w:noProof w:val="0"/>
                <w:sz w:val="20"/>
                <w:szCs w:val="20"/>
              </w:rPr>
              <w:t>/</w:t>
            </w:r>
            <w:r w:rsidRPr="00DA3694">
              <w:rPr>
                <w:rFonts w:asciiTheme="majorHAnsi" w:eastAsia="Times New Roman" w:hAnsiTheme="majorHAnsi" w:cstheme="majorHAnsi"/>
                <w:bCs/>
                <w:i/>
                <w:noProof w:val="0"/>
                <w:sz w:val="20"/>
                <w:szCs w:val="20"/>
              </w:rPr>
              <w:t>construction, such as water quality monitoring and revegetation</w:t>
            </w:r>
            <w:r w:rsidR="00DC4CBA" w:rsidRPr="00DA3694">
              <w:rPr>
                <w:rFonts w:asciiTheme="majorHAnsi" w:eastAsia="Times New Roman" w:hAnsiTheme="majorHAnsi" w:cstheme="majorHAnsi"/>
                <w:bCs/>
                <w:i/>
                <w:noProof w:val="0"/>
                <w:sz w:val="20"/>
                <w:szCs w:val="20"/>
              </w:rPr>
              <w:t>.</w:t>
            </w:r>
            <w:r w:rsidR="005F5745" w:rsidRPr="00DA3694">
              <w:rPr>
                <w:rFonts w:asciiTheme="majorHAnsi" w:eastAsia="Times New Roman" w:hAnsiTheme="majorHAnsi" w:cstheme="majorHAnsi"/>
                <w:bCs/>
                <w:i/>
                <w:noProof w:val="0"/>
                <w:sz w:val="20"/>
                <w:szCs w:val="20"/>
              </w:rPr>
              <w:t xml:space="preserve"> </w:t>
            </w:r>
            <w:r w:rsidR="00DC4CBA" w:rsidRPr="00DA3694">
              <w:rPr>
                <w:rFonts w:asciiTheme="majorHAnsi" w:eastAsia="Times New Roman" w:hAnsiTheme="majorHAnsi" w:cstheme="majorHAnsi"/>
                <w:bCs/>
                <w:i/>
                <w:noProof w:val="0"/>
                <w:sz w:val="20"/>
                <w:szCs w:val="20"/>
              </w:rPr>
              <w:t>T</w:t>
            </w:r>
            <w:r w:rsidR="005F5745" w:rsidRPr="00DA3694">
              <w:rPr>
                <w:rFonts w:asciiTheme="majorHAnsi" w:eastAsia="Times New Roman" w:hAnsiTheme="majorHAnsi" w:cstheme="majorHAnsi"/>
                <w:bCs/>
                <w:i/>
                <w:noProof w:val="0"/>
                <w:sz w:val="20"/>
                <w:szCs w:val="20"/>
              </w:rPr>
              <w:t>he ESHS plan for closure and demobilization should also make adequate provisions relating to disaster risk</w:t>
            </w:r>
            <w:r w:rsidRPr="00DA3694">
              <w:rPr>
                <w:rFonts w:asciiTheme="majorHAnsi" w:eastAsia="Times New Roman" w:hAnsiTheme="majorHAnsi" w:cstheme="majorHAnsi"/>
                <w:bCs/>
                <w:i/>
                <w:noProof w:val="0"/>
                <w:sz w:val="20"/>
                <w:szCs w:val="20"/>
              </w:rPr>
              <w:t>.</w:t>
            </w:r>
            <w:r w:rsidR="00F3156D" w:rsidRPr="00DA3694">
              <w:rPr>
                <w:rFonts w:asciiTheme="majorHAnsi" w:eastAsia="Times New Roman" w:hAnsiTheme="majorHAnsi" w:cstheme="majorHAnsi"/>
                <w:bCs/>
                <w:i/>
                <w:noProof w:val="0"/>
                <w:sz w:val="20"/>
                <w:szCs w:val="20"/>
              </w:rPr>
              <w:t xml:space="preserve"> </w:t>
            </w:r>
            <w:r w:rsidR="005F57B3" w:rsidRPr="00DA3694">
              <w:rPr>
                <w:rFonts w:asciiTheme="majorHAnsi" w:eastAsia="Times New Roman" w:hAnsiTheme="majorHAnsi" w:cstheme="majorHAnsi"/>
                <w:bCs/>
                <w:i/>
                <w:noProof w:val="0"/>
                <w:sz w:val="20"/>
                <w:szCs w:val="20"/>
              </w:rPr>
              <w:t>One further aspect to be explored with the IDB T</w:t>
            </w:r>
            <w:r w:rsidR="00DC4CBA" w:rsidRPr="00DA3694">
              <w:rPr>
                <w:rFonts w:asciiTheme="majorHAnsi" w:eastAsia="Times New Roman" w:hAnsiTheme="majorHAnsi" w:cstheme="majorHAnsi"/>
                <w:bCs/>
                <w:i/>
                <w:noProof w:val="0"/>
                <w:sz w:val="20"/>
                <w:szCs w:val="20"/>
              </w:rPr>
              <w:t xml:space="preserve">eam </w:t>
            </w:r>
            <w:r w:rsidR="005F57B3" w:rsidRPr="00DA3694">
              <w:rPr>
                <w:rFonts w:asciiTheme="majorHAnsi" w:eastAsia="Times New Roman" w:hAnsiTheme="majorHAnsi" w:cstheme="majorHAnsi"/>
                <w:bCs/>
                <w:i/>
                <w:noProof w:val="0"/>
                <w:sz w:val="20"/>
                <w:szCs w:val="20"/>
              </w:rPr>
              <w:t>L</w:t>
            </w:r>
            <w:r w:rsidR="00DC4CBA" w:rsidRPr="00DA3694">
              <w:rPr>
                <w:rFonts w:asciiTheme="majorHAnsi" w:eastAsia="Times New Roman" w:hAnsiTheme="majorHAnsi" w:cstheme="majorHAnsi"/>
                <w:bCs/>
                <w:i/>
                <w:noProof w:val="0"/>
                <w:sz w:val="20"/>
                <w:szCs w:val="20"/>
              </w:rPr>
              <w:t>eader</w:t>
            </w:r>
            <w:r w:rsidR="005F57B3" w:rsidRPr="00DA3694">
              <w:rPr>
                <w:rFonts w:asciiTheme="majorHAnsi" w:eastAsia="Times New Roman" w:hAnsiTheme="majorHAnsi" w:cstheme="majorHAnsi"/>
                <w:bCs/>
                <w:i/>
                <w:noProof w:val="0"/>
                <w:sz w:val="20"/>
                <w:szCs w:val="20"/>
              </w:rPr>
              <w:t xml:space="preserve"> would be to hire an additional environmental/social specialist to support CDB</w:t>
            </w:r>
            <w:r w:rsidR="00DC4CBA" w:rsidRPr="00DA3694">
              <w:rPr>
                <w:rFonts w:asciiTheme="majorHAnsi" w:eastAsia="Times New Roman" w:hAnsiTheme="majorHAnsi" w:cstheme="majorHAnsi"/>
                <w:bCs/>
                <w:i/>
                <w:noProof w:val="0"/>
                <w:sz w:val="20"/>
                <w:szCs w:val="20"/>
              </w:rPr>
              <w:t xml:space="preserve"> with the execution of the Program</w:t>
            </w:r>
            <w:r w:rsidR="005F57B3" w:rsidRPr="00DA3694">
              <w:rPr>
                <w:rFonts w:asciiTheme="majorHAnsi" w:eastAsia="Times New Roman" w:hAnsiTheme="majorHAnsi" w:cstheme="majorHAnsi"/>
                <w:bCs/>
                <w:i/>
                <w:noProof w:val="0"/>
                <w:sz w:val="20"/>
                <w:szCs w:val="20"/>
              </w:rPr>
              <w:t>. CDB staff are technically strong but are stretched thin, and as such reviews are undertaken slowly.</w:t>
            </w:r>
          </w:p>
        </w:tc>
      </w:tr>
      <w:tr w:rsidR="00D84615" w:rsidRPr="004F0961" w14:paraId="516B06C5" w14:textId="77777777" w:rsidTr="00551E91">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5015FC52" w14:textId="57320AD6" w:rsidR="00D84615" w:rsidRPr="004F0961" w:rsidRDefault="00D84615" w:rsidP="00D84615">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 xml:space="preserve">Environmental and Social Risk </w:t>
            </w:r>
            <w:r w:rsidR="00626728" w:rsidRPr="004F0961">
              <w:rPr>
                <w:rFonts w:asciiTheme="majorHAnsi" w:eastAsia="Times New Roman" w:hAnsiTheme="majorHAnsi" w:cstheme="majorHAnsi"/>
                <w:b/>
                <w:bCs/>
                <w:noProof w:val="0"/>
                <w:sz w:val="20"/>
                <w:szCs w:val="20"/>
              </w:rPr>
              <w:t>R</w:t>
            </w:r>
            <w:r w:rsidRPr="004F0961">
              <w:rPr>
                <w:rFonts w:asciiTheme="majorHAnsi" w:eastAsia="Times New Roman" w:hAnsiTheme="majorHAnsi" w:cstheme="majorHAnsi"/>
                <w:b/>
                <w:bCs/>
                <w:noProof w:val="0"/>
                <w:sz w:val="20"/>
                <w:szCs w:val="20"/>
              </w:rPr>
              <w:t>ating</w:t>
            </w:r>
          </w:p>
        </w:tc>
        <w:tc>
          <w:tcPr>
            <w:tcW w:w="8288" w:type="dxa"/>
            <w:gridSpan w:val="3"/>
            <w:tcBorders>
              <w:top w:val="single" w:sz="6" w:space="0" w:color="000000"/>
              <w:left w:val="single" w:sz="6" w:space="0" w:color="000000"/>
              <w:bottom w:val="single" w:sz="6" w:space="0" w:color="000000"/>
              <w:right w:val="single" w:sz="6" w:space="0" w:color="000000"/>
            </w:tcBorders>
            <w:vAlign w:val="center"/>
          </w:tcPr>
          <w:p w14:paraId="16FBD8D9" w14:textId="257E3068" w:rsidR="0030415D" w:rsidRPr="00DA3694" w:rsidRDefault="00D84615" w:rsidP="00D84615">
            <w:pPr>
              <w:rPr>
                <w:rFonts w:asciiTheme="majorHAnsi" w:eastAsia="Times New Roman" w:hAnsiTheme="majorHAnsi" w:cstheme="majorHAnsi"/>
                <w:b/>
                <w:bCs/>
                <w:i/>
                <w:iCs/>
                <w:noProof w:val="0"/>
                <w:sz w:val="20"/>
                <w:szCs w:val="20"/>
              </w:rPr>
            </w:pPr>
            <w:r w:rsidRPr="00DA3694">
              <w:rPr>
                <w:rFonts w:asciiTheme="majorHAnsi" w:eastAsia="Times New Roman" w:hAnsiTheme="majorHAnsi" w:cstheme="majorHAnsi"/>
                <w:b/>
                <w:bCs/>
                <w:i/>
                <w:iCs/>
                <w:noProof w:val="0"/>
                <w:sz w:val="20"/>
                <w:szCs w:val="20"/>
              </w:rPr>
              <w:t>Substantial</w:t>
            </w:r>
            <w:r w:rsidR="0030415D" w:rsidRPr="00DA3694">
              <w:rPr>
                <w:rFonts w:asciiTheme="majorHAnsi" w:eastAsia="Times New Roman" w:hAnsiTheme="majorHAnsi" w:cstheme="majorHAnsi"/>
                <w:b/>
                <w:bCs/>
                <w:i/>
                <w:iCs/>
                <w:noProof w:val="0"/>
                <w:sz w:val="20"/>
                <w:szCs w:val="20"/>
              </w:rPr>
              <w:t xml:space="preserve"> </w:t>
            </w:r>
          </w:p>
          <w:p w14:paraId="767DC13C" w14:textId="0C0670CC" w:rsidR="00F753F0" w:rsidRPr="00DA3694" w:rsidRDefault="00F753F0" w:rsidP="00E72102">
            <w:pPr>
              <w:rPr>
                <w:rFonts w:asciiTheme="majorHAnsi" w:eastAsia="Times New Roman" w:hAnsiTheme="majorHAnsi" w:cstheme="majorHAnsi"/>
                <w:i/>
                <w:iCs/>
                <w:noProof w:val="0"/>
                <w:sz w:val="20"/>
                <w:szCs w:val="20"/>
              </w:rPr>
            </w:pPr>
            <w:r w:rsidRPr="00DA3694">
              <w:rPr>
                <w:rFonts w:asciiTheme="majorHAnsi" w:eastAsia="Times New Roman" w:hAnsiTheme="majorHAnsi" w:cstheme="majorHAnsi"/>
                <w:i/>
                <w:iCs/>
                <w:noProof w:val="0"/>
                <w:sz w:val="20"/>
                <w:szCs w:val="20"/>
              </w:rPr>
              <w:t xml:space="preserve">Previous: Substantial </w:t>
            </w:r>
            <w:r w:rsidR="00083C5E" w:rsidRPr="00DA3694">
              <w:rPr>
                <w:rFonts w:asciiTheme="majorHAnsi" w:eastAsia="Times New Roman" w:hAnsiTheme="majorHAnsi" w:cstheme="majorHAnsi"/>
                <w:i/>
                <w:iCs/>
                <w:noProof w:val="0"/>
                <w:sz w:val="20"/>
                <w:szCs w:val="20"/>
              </w:rPr>
              <w:t>(</w:t>
            </w:r>
            <w:r w:rsidR="00DA3694">
              <w:rPr>
                <w:rFonts w:asciiTheme="majorHAnsi" w:eastAsia="Times New Roman" w:hAnsiTheme="majorHAnsi" w:cstheme="majorHAnsi"/>
                <w:i/>
                <w:iCs/>
                <w:noProof w:val="0"/>
                <w:sz w:val="20"/>
                <w:szCs w:val="20"/>
              </w:rPr>
              <w:t>2</w:t>
            </w:r>
            <w:r w:rsidRPr="00DA3694">
              <w:rPr>
                <w:rFonts w:asciiTheme="majorHAnsi" w:eastAsia="Times New Roman" w:hAnsiTheme="majorHAnsi" w:cstheme="majorHAnsi"/>
                <w:i/>
                <w:iCs/>
                <w:noProof w:val="0"/>
                <w:sz w:val="20"/>
                <w:szCs w:val="20"/>
              </w:rPr>
              <w:t>8 October 201</w:t>
            </w:r>
            <w:r w:rsidR="00DA3694">
              <w:rPr>
                <w:rFonts w:asciiTheme="majorHAnsi" w:eastAsia="Times New Roman" w:hAnsiTheme="majorHAnsi" w:cstheme="majorHAnsi"/>
                <w:i/>
                <w:iCs/>
                <w:noProof w:val="0"/>
                <w:sz w:val="20"/>
                <w:szCs w:val="20"/>
              </w:rPr>
              <w:t>9</w:t>
            </w:r>
            <w:r w:rsidR="00083C5E" w:rsidRPr="00DA3694">
              <w:rPr>
                <w:rFonts w:asciiTheme="majorHAnsi" w:eastAsia="Times New Roman" w:hAnsiTheme="majorHAnsi" w:cstheme="majorHAnsi"/>
                <w:i/>
                <w:iCs/>
                <w:noProof w:val="0"/>
                <w:sz w:val="20"/>
                <w:szCs w:val="20"/>
              </w:rPr>
              <w:t>)</w:t>
            </w:r>
          </w:p>
        </w:tc>
      </w:tr>
      <w:tr w:rsidR="00D84615" w:rsidRPr="004F0961" w14:paraId="36442E33" w14:textId="77777777" w:rsidTr="00551E91">
        <w:trPr>
          <w:trHeight w:val="339"/>
        </w:trPr>
        <w:tc>
          <w:tcPr>
            <w:tcW w:w="1702"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vAlign w:val="center"/>
          </w:tcPr>
          <w:p w14:paraId="1ABF7BA7" w14:textId="72C1CBC0" w:rsidR="00D84615" w:rsidRPr="004F0961" w:rsidRDefault="00D84615" w:rsidP="00D84615">
            <w:pPr>
              <w:rPr>
                <w:rFonts w:asciiTheme="majorHAnsi" w:eastAsia="Times New Roman" w:hAnsiTheme="majorHAnsi" w:cstheme="majorHAnsi"/>
                <w:b/>
                <w:bCs/>
                <w:noProof w:val="0"/>
                <w:sz w:val="20"/>
                <w:szCs w:val="20"/>
              </w:rPr>
            </w:pPr>
            <w:r w:rsidRPr="004F0961">
              <w:rPr>
                <w:rFonts w:asciiTheme="majorHAnsi" w:eastAsia="Times New Roman" w:hAnsiTheme="majorHAnsi" w:cstheme="majorHAnsi"/>
                <w:b/>
                <w:bCs/>
                <w:noProof w:val="0"/>
                <w:sz w:val="20"/>
                <w:szCs w:val="20"/>
              </w:rPr>
              <w:t>Rationale for Environmental and Social Risk rating</w:t>
            </w:r>
          </w:p>
        </w:tc>
        <w:tc>
          <w:tcPr>
            <w:tcW w:w="8288" w:type="dxa"/>
            <w:gridSpan w:val="3"/>
            <w:tcBorders>
              <w:top w:val="single" w:sz="6" w:space="0" w:color="000000"/>
              <w:left w:val="single" w:sz="6" w:space="0" w:color="000000"/>
              <w:bottom w:val="single" w:sz="6" w:space="0" w:color="000000"/>
              <w:right w:val="single" w:sz="6" w:space="0" w:color="000000"/>
            </w:tcBorders>
            <w:vAlign w:val="center"/>
          </w:tcPr>
          <w:p w14:paraId="3EF774AF" w14:textId="17D97DB5" w:rsidR="00C55687" w:rsidRPr="00DA3694" w:rsidRDefault="00DA3694" w:rsidP="00B63FC7">
            <w:pPr>
              <w:tabs>
                <w:tab w:val="left" w:pos="4330"/>
              </w:tabs>
              <w:rPr>
                <w:rFonts w:asciiTheme="majorHAnsi" w:eastAsia="Times New Roman" w:hAnsiTheme="majorHAnsi" w:cstheme="majorHAnsi"/>
                <w:b/>
                <w:i/>
                <w:noProof w:val="0"/>
                <w:sz w:val="20"/>
                <w:szCs w:val="20"/>
              </w:rPr>
            </w:pPr>
            <w:r w:rsidRPr="008D7CF7">
              <w:rPr>
                <w:rFonts w:asciiTheme="majorHAnsi" w:eastAsia="Times New Roman" w:hAnsiTheme="majorHAnsi" w:cstheme="majorHAnsi"/>
                <w:sz w:val="20"/>
                <w:szCs w:val="20"/>
              </w:rPr>
              <w:t xml:space="preserve">The </w:t>
            </w:r>
            <w:r>
              <w:rPr>
                <w:rFonts w:asciiTheme="majorHAnsi" w:eastAsia="Times New Roman" w:hAnsiTheme="majorHAnsi" w:cstheme="majorHAnsi"/>
                <w:sz w:val="20"/>
                <w:szCs w:val="20"/>
              </w:rPr>
              <w:t xml:space="preserve">overall </w:t>
            </w:r>
            <w:r w:rsidRPr="008D7CF7">
              <w:rPr>
                <w:rFonts w:asciiTheme="majorHAnsi" w:eastAsia="Times New Roman" w:hAnsiTheme="majorHAnsi" w:cstheme="majorHAnsi"/>
                <w:sz w:val="20"/>
                <w:szCs w:val="20"/>
              </w:rPr>
              <w:t>operation</w:t>
            </w:r>
            <w:r>
              <w:rPr>
                <w:rFonts w:asciiTheme="majorHAnsi" w:eastAsia="Times New Roman" w:hAnsiTheme="majorHAnsi" w:cstheme="majorHAnsi"/>
                <w:sz w:val="20"/>
                <w:szCs w:val="20"/>
              </w:rPr>
              <w:t xml:space="preserve"> is rated for risk, and not the</w:t>
            </w:r>
            <w:r w:rsidRPr="008D7CF7">
              <w:rPr>
                <w:rFonts w:asciiTheme="majorHAnsi" w:eastAsia="Times New Roman" w:hAnsiTheme="majorHAnsi" w:cstheme="majorHAnsi"/>
                <w:sz w:val="20"/>
                <w:szCs w:val="20"/>
              </w:rPr>
              <w:t xml:space="preserve"> specific subprojects. The EA is the CDB, </w:t>
            </w:r>
            <w:r>
              <w:rPr>
                <w:rFonts w:asciiTheme="majorHAnsi" w:eastAsia="Times New Roman" w:hAnsiTheme="majorHAnsi" w:cstheme="majorHAnsi"/>
                <w:sz w:val="20"/>
                <w:szCs w:val="20"/>
              </w:rPr>
              <w:t xml:space="preserve">and </w:t>
            </w:r>
            <w:r w:rsidRPr="008D7CF7">
              <w:rPr>
                <w:rFonts w:asciiTheme="majorHAnsi" w:eastAsia="Times New Roman" w:hAnsiTheme="majorHAnsi" w:cstheme="majorHAnsi"/>
                <w:sz w:val="20"/>
                <w:szCs w:val="20"/>
              </w:rPr>
              <w:t>IDB resources for E&amp;S supervision are allocated for the whole operation and not for subprojects, and many of the contextual risks are the same or similar for all or most subprojects. The overall risk remains substantial due to the relative inexperience of CDB and local executing agencies to manage ESHS issues of geothermal subprojects. While some subprojects may be located in or near protected areas, the ESMS for the Program is well crafted to manage these risks.</w:t>
            </w:r>
            <w:r>
              <w:rPr>
                <w:rFonts w:asciiTheme="majorHAnsi" w:eastAsia="Times New Roman" w:hAnsiTheme="majorHAnsi" w:cstheme="majorHAnsi"/>
                <w:sz w:val="20"/>
                <w:szCs w:val="20"/>
              </w:rPr>
              <w:t xml:space="preserve"> There are potential risks represented by the combination of geothermal drilling in vulnerable ecological and social contexts in a scenario of lack of experience in managing its impacts, but partially mitigated by the small footprint and scale of projects considred for financing so far, combined with the participation of firms experienced in geothermal projects as co-proponents.</w:t>
            </w:r>
            <w:r w:rsidR="000475FC">
              <w:rPr>
                <w:rFonts w:asciiTheme="majorHAnsi" w:eastAsia="Times New Roman" w:hAnsiTheme="majorHAnsi" w:cstheme="majorHAnsi"/>
                <w:sz w:val="20"/>
                <w:szCs w:val="20"/>
              </w:rPr>
              <w:t xml:space="preserve"> </w:t>
            </w:r>
            <w:r w:rsidR="000475FC">
              <w:t xml:space="preserve"> </w:t>
            </w:r>
            <w:r w:rsidR="000475FC" w:rsidRPr="000475FC">
              <w:rPr>
                <w:rFonts w:asciiTheme="majorHAnsi" w:eastAsia="Times New Roman" w:hAnsiTheme="majorHAnsi" w:cstheme="majorHAnsi"/>
                <w:sz w:val="20"/>
                <w:szCs w:val="20"/>
              </w:rPr>
              <w:t>The risk of Covid-19 has already caused delays in consultation processes and project implementation, and remains a risk for workers’health and safety.</w:t>
            </w:r>
          </w:p>
        </w:tc>
      </w:tr>
    </w:tbl>
    <w:p w14:paraId="1AB8A4B8" w14:textId="77777777" w:rsidR="00182417" w:rsidRPr="004F0961" w:rsidRDefault="00182417" w:rsidP="00182417">
      <w:pPr>
        <w:rPr>
          <w:rFonts w:asciiTheme="majorHAnsi" w:hAnsiTheme="majorHAnsi" w:cstheme="majorHAnsi"/>
          <w:noProof w:val="0"/>
          <w:sz w:val="20"/>
          <w:szCs w:val="20"/>
        </w:rPr>
      </w:pPr>
    </w:p>
    <w:tbl>
      <w:tblPr>
        <w:tblW w:w="9990" w:type="dxa"/>
        <w:tblInd w:w="-52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990"/>
      </w:tblGrid>
      <w:tr w:rsidR="00850AF9" w:rsidRPr="004F0961" w14:paraId="1E10EC19" w14:textId="77777777" w:rsidTr="00D3289E">
        <w:trPr>
          <w:trHeight w:val="315"/>
        </w:trPr>
        <w:tc>
          <w:tcPr>
            <w:tcW w:w="9990" w:type="dxa"/>
            <w:tcBorders>
              <w:top w:val="single" w:sz="6" w:space="0" w:color="000000"/>
              <w:left w:val="single" w:sz="6" w:space="0" w:color="000000"/>
              <w:bottom w:val="single" w:sz="6" w:space="0" w:color="000000"/>
              <w:right w:val="single" w:sz="6" w:space="0" w:color="000000"/>
            </w:tcBorders>
            <w:shd w:val="clear" w:color="auto" w:fill="95B3D7" w:themeFill="accent1" w:themeFillTint="99"/>
            <w:tcMar>
              <w:top w:w="15" w:type="dxa"/>
              <w:left w:w="105" w:type="dxa"/>
              <w:bottom w:w="15" w:type="dxa"/>
              <w:right w:w="105" w:type="dxa"/>
            </w:tcMar>
            <w:vAlign w:val="center"/>
            <w:hideMark/>
          </w:tcPr>
          <w:p w14:paraId="3893EDA7" w14:textId="7D6BD2B2" w:rsidR="00850AF9" w:rsidRPr="004F0961" w:rsidRDefault="00B1067E" w:rsidP="00B1067E">
            <w:pPr>
              <w:rPr>
                <w:rFonts w:asciiTheme="majorHAnsi" w:eastAsia="Times New Roman" w:hAnsiTheme="majorHAnsi" w:cstheme="majorHAnsi"/>
                <w:b/>
                <w:bCs/>
                <w:noProof w:val="0"/>
                <w:color w:val="FFFFFF" w:themeColor="background1"/>
                <w:sz w:val="20"/>
                <w:szCs w:val="20"/>
              </w:rPr>
            </w:pPr>
            <w:bookmarkStart w:id="1" w:name="_Hlk485205100"/>
            <w:r w:rsidRPr="004F0961">
              <w:rPr>
                <w:rFonts w:asciiTheme="majorHAnsi" w:eastAsia="Times New Roman" w:hAnsiTheme="majorHAnsi" w:cstheme="majorHAnsi"/>
                <w:b/>
                <w:bCs/>
                <w:noProof w:val="0"/>
                <w:color w:val="FFFFFF" w:themeColor="background1"/>
                <w:sz w:val="20"/>
                <w:szCs w:val="20"/>
              </w:rPr>
              <w:t xml:space="preserve">Project Description </w:t>
            </w:r>
            <w:r w:rsidR="00395EEC" w:rsidRPr="004F0961">
              <w:rPr>
                <w:rFonts w:asciiTheme="majorHAnsi" w:eastAsia="Times New Roman" w:hAnsiTheme="majorHAnsi" w:cstheme="majorHAnsi"/>
                <w:b/>
                <w:bCs/>
                <w:noProof w:val="0"/>
                <w:color w:val="FFFFFF" w:themeColor="background1"/>
                <w:sz w:val="20"/>
                <w:szCs w:val="20"/>
              </w:rPr>
              <w:t>and Implementation Status</w:t>
            </w:r>
            <w:bookmarkEnd w:id="1"/>
            <w:r w:rsidR="00780B77" w:rsidRPr="004F0961">
              <w:rPr>
                <w:rFonts w:asciiTheme="majorHAnsi" w:eastAsia="Times New Roman" w:hAnsiTheme="majorHAnsi" w:cstheme="majorHAnsi"/>
                <w:b/>
                <w:bCs/>
                <w:noProof w:val="0"/>
                <w:color w:val="FFFFFF" w:themeColor="background1"/>
                <w:sz w:val="20"/>
                <w:szCs w:val="20"/>
              </w:rPr>
              <w:t xml:space="preserve"> </w:t>
            </w:r>
          </w:p>
        </w:tc>
      </w:tr>
    </w:tbl>
    <w:tbl>
      <w:tblPr>
        <w:tblStyle w:val="TableGrid"/>
        <w:tblW w:w="9990" w:type="dxa"/>
        <w:tblInd w:w="-522" w:type="dxa"/>
        <w:tblLook w:val="04A0" w:firstRow="1" w:lastRow="0" w:firstColumn="1" w:lastColumn="0" w:noHBand="0" w:noVBand="1"/>
      </w:tblPr>
      <w:tblGrid>
        <w:gridCol w:w="9990"/>
      </w:tblGrid>
      <w:tr w:rsidR="000D487C" w:rsidRPr="004F0961" w14:paraId="1F3996D9" w14:textId="77777777" w:rsidTr="00D3289E">
        <w:trPr>
          <w:trHeight w:val="2220"/>
        </w:trPr>
        <w:tc>
          <w:tcPr>
            <w:tcW w:w="9990" w:type="dxa"/>
          </w:tcPr>
          <w:p w14:paraId="1D4C5781" w14:textId="77777777" w:rsidR="008E0AF2" w:rsidRDefault="00701E11" w:rsidP="002169E7">
            <w:pPr>
              <w:spacing w:before="120" w:after="120"/>
              <w:rPr>
                <w:rFonts w:asciiTheme="majorHAnsi" w:hAnsiTheme="majorHAnsi" w:cstheme="majorHAnsi"/>
                <w:noProof w:val="0"/>
                <w:sz w:val="20"/>
                <w:szCs w:val="20"/>
              </w:rPr>
            </w:pPr>
            <w:r w:rsidRPr="004E517D">
              <w:rPr>
                <w:rFonts w:asciiTheme="majorHAnsi" w:hAnsiTheme="majorHAnsi" w:cstheme="majorHAnsi"/>
                <w:b/>
                <w:bCs/>
                <w:noProof w:val="0"/>
                <w:sz w:val="20"/>
                <w:szCs w:val="20"/>
              </w:rPr>
              <w:t>Description</w:t>
            </w:r>
            <w:r w:rsidR="003A2B0D" w:rsidRPr="004E517D">
              <w:rPr>
                <w:rFonts w:asciiTheme="majorHAnsi" w:hAnsiTheme="majorHAnsi" w:cstheme="majorHAnsi"/>
                <w:b/>
                <w:bCs/>
                <w:noProof w:val="0"/>
                <w:sz w:val="20"/>
                <w:szCs w:val="20"/>
              </w:rPr>
              <w:t>:</w:t>
            </w:r>
            <w:r w:rsidR="003A2B0D" w:rsidRPr="004E517D">
              <w:rPr>
                <w:rFonts w:asciiTheme="majorHAnsi" w:hAnsiTheme="majorHAnsi" w:cstheme="majorHAnsi"/>
                <w:noProof w:val="0"/>
                <w:sz w:val="20"/>
                <w:szCs w:val="20"/>
              </w:rPr>
              <w:t xml:space="preserve"> </w:t>
            </w:r>
            <w:bookmarkStart w:id="2" w:name="_Hlk485205469"/>
            <w:r w:rsidR="0030415D" w:rsidRPr="004E517D">
              <w:rPr>
                <w:rFonts w:asciiTheme="majorHAnsi" w:hAnsiTheme="majorHAnsi" w:cstheme="majorHAnsi"/>
                <w:noProof w:val="0"/>
                <w:sz w:val="20"/>
                <w:szCs w:val="20"/>
              </w:rPr>
              <w:t>The Sustainable Energy Facility (SEF) is a Global Credit Loan (GCL or the ‘Facility’)</w:t>
            </w:r>
            <w:r w:rsidR="008E0AF2">
              <w:rPr>
                <w:rFonts w:asciiTheme="majorHAnsi" w:hAnsiTheme="majorHAnsi" w:cstheme="majorHAnsi"/>
                <w:noProof w:val="0"/>
                <w:sz w:val="20"/>
                <w:szCs w:val="20"/>
              </w:rPr>
              <w:t xml:space="preserve">, associated with Grants and Technical </w:t>
            </w:r>
            <w:proofErr w:type="spellStart"/>
            <w:r w:rsidR="008E0AF2">
              <w:rPr>
                <w:rFonts w:asciiTheme="majorHAnsi" w:hAnsiTheme="majorHAnsi" w:cstheme="majorHAnsi"/>
                <w:noProof w:val="0"/>
                <w:sz w:val="20"/>
                <w:szCs w:val="20"/>
              </w:rPr>
              <w:t>Cooperations</w:t>
            </w:r>
            <w:proofErr w:type="spellEnd"/>
            <w:r w:rsidR="008E0AF2">
              <w:rPr>
                <w:rFonts w:asciiTheme="majorHAnsi" w:hAnsiTheme="majorHAnsi" w:cstheme="majorHAnsi"/>
                <w:noProof w:val="0"/>
                <w:sz w:val="20"/>
                <w:szCs w:val="20"/>
              </w:rPr>
              <w:t xml:space="preserve"> (TC)</w:t>
            </w:r>
            <w:r w:rsidR="0030415D" w:rsidRPr="004E517D">
              <w:rPr>
                <w:rFonts w:asciiTheme="majorHAnsi" w:hAnsiTheme="majorHAnsi" w:cstheme="majorHAnsi"/>
                <w:noProof w:val="0"/>
                <w:sz w:val="20"/>
                <w:szCs w:val="20"/>
              </w:rPr>
              <w:t xml:space="preserve"> with the objective of contributing to diversification of the energy matrix in the Eastern Caribbean (EC) by promoting the implementation of Energy Efficiency (EE) and Renewable Energy (RE) technologies to reduce the region’s dependency on liquid fossil fuels in an effort to reduce the cost of power generation and electricity tariffs. The Bank provides a GCL to the CDB, which on-lends the resources to finance eligible sub-loans in all beneficiary countries</w:t>
            </w:r>
            <w:r w:rsidR="00C74402" w:rsidRPr="004E517D">
              <w:rPr>
                <w:rFonts w:asciiTheme="majorHAnsi" w:hAnsiTheme="majorHAnsi" w:cstheme="majorHAnsi"/>
                <w:noProof w:val="0"/>
                <w:sz w:val="20"/>
                <w:szCs w:val="20"/>
              </w:rPr>
              <w:t>,</w:t>
            </w:r>
            <w:r w:rsidR="0030415D" w:rsidRPr="004E517D">
              <w:rPr>
                <w:rFonts w:asciiTheme="majorHAnsi" w:hAnsiTheme="majorHAnsi" w:cstheme="majorHAnsi"/>
                <w:noProof w:val="0"/>
                <w:sz w:val="20"/>
                <w:szCs w:val="20"/>
              </w:rPr>
              <w:t xml:space="preserve"> according to the following SEF components: (1) Energy Efficiency, (2) Regulatory Framework, (3) Renewable Energy.</w:t>
            </w:r>
            <w:bookmarkEnd w:id="2"/>
          </w:p>
          <w:p w14:paraId="7D01134F" w14:textId="6A4A02AC" w:rsidR="008E0AF2" w:rsidRDefault="008E0AF2" w:rsidP="002169E7">
            <w:pPr>
              <w:spacing w:before="120" w:after="120"/>
              <w:rPr>
                <w:rFonts w:asciiTheme="majorHAnsi" w:hAnsiTheme="majorHAnsi" w:cstheme="majorHAnsi"/>
                <w:noProof w:val="0"/>
                <w:sz w:val="20"/>
                <w:szCs w:val="20"/>
              </w:rPr>
            </w:pPr>
            <w:r>
              <w:rPr>
                <w:rFonts w:asciiTheme="majorHAnsi" w:hAnsiTheme="majorHAnsi" w:cstheme="majorHAnsi"/>
                <w:noProof w:val="0"/>
                <w:sz w:val="20"/>
                <w:szCs w:val="20"/>
              </w:rPr>
              <w:t xml:space="preserve">IDB and CDB have agreed to carry out </w:t>
            </w:r>
            <w:r w:rsidR="005C5249">
              <w:rPr>
                <w:rFonts w:asciiTheme="majorHAnsi" w:hAnsiTheme="majorHAnsi" w:cstheme="majorHAnsi"/>
                <w:noProof w:val="0"/>
                <w:sz w:val="20"/>
                <w:szCs w:val="20"/>
              </w:rPr>
              <w:t>project preparation and supervision in a “hand-in-hand” approach in which both collaborate towards E&amp;S management of the subprojects.</w:t>
            </w:r>
          </w:p>
          <w:p w14:paraId="7CF3CB38" w14:textId="63088759" w:rsidR="002169E7" w:rsidRPr="00DA3694" w:rsidRDefault="002169E7" w:rsidP="002169E7">
            <w:pPr>
              <w:spacing w:before="120" w:after="120"/>
              <w:rPr>
                <w:rFonts w:asciiTheme="majorHAnsi" w:hAnsiTheme="majorHAnsi" w:cstheme="majorHAnsi"/>
                <w:b/>
                <w:bCs/>
                <w:noProof w:val="0"/>
                <w:sz w:val="20"/>
                <w:szCs w:val="20"/>
                <w:u w:val="single"/>
              </w:rPr>
            </w:pPr>
            <w:r w:rsidRPr="00DA3694">
              <w:rPr>
                <w:rFonts w:asciiTheme="majorHAnsi" w:hAnsiTheme="majorHAnsi" w:cstheme="majorHAnsi"/>
                <w:b/>
                <w:bCs/>
                <w:noProof w:val="0"/>
                <w:sz w:val="20"/>
                <w:szCs w:val="20"/>
                <w:u w:val="single"/>
              </w:rPr>
              <w:t xml:space="preserve">To date, the Bank has worked on the preparation of </w:t>
            </w:r>
            <w:r w:rsidR="00DC4B00" w:rsidRPr="00DA3694">
              <w:rPr>
                <w:rFonts w:asciiTheme="majorHAnsi" w:hAnsiTheme="majorHAnsi" w:cstheme="majorHAnsi"/>
                <w:b/>
                <w:bCs/>
                <w:noProof w:val="0"/>
                <w:sz w:val="20"/>
                <w:szCs w:val="20"/>
                <w:u w:val="single"/>
              </w:rPr>
              <w:t>four</w:t>
            </w:r>
            <w:r w:rsidRPr="00DA3694">
              <w:rPr>
                <w:rFonts w:asciiTheme="majorHAnsi" w:hAnsiTheme="majorHAnsi" w:cstheme="majorHAnsi"/>
                <w:b/>
                <w:bCs/>
                <w:noProof w:val="0"/>
                <w:sz w:val="20"/>
                <w:szCs w:val="20"/>
                <w:u w:val="single"/>
              </w:rPr>
              <w:t xml:space="preserve"> sub-projects:</w:t>
            </w:r>
          </w:p>
          <w:p w14:paraId="2FC8274B" w14:textId="484CCEDC" w:rsidR="002169E7" w:rsidRPr="004E517D" w:rsidRDefault="002169E7" w:rsidP="002169E7">
            <w:pPr>
              <w:spacing w:before="120" w:after="120"/>
              <w:rPr>
                <w:rFonts w:asciiTheme="majorHAnsi" w:hAnsiTheme="majorHAnsi" w:cstheme="majorHAnsi"/>
                <w:noProof w:val="0"/>
                <w:sz w:val="20"/>
                <w:szCs w:val="20"/>
              </w:rPr>
            </w:pPr>
            <w:r w:rsidRPr="004E517D">
              <w:rPr>
                <w:rFonts w:asciiTheme="majorHAnsi" w:hAnsiTheme="majorHAnsi" w:cstheme="majorHAnsi"/>
                <w:b/>
                <w:bCs/>
                <w:noProof w:val="0"/>
                <w:sz w:val="20"/>
                <w:szCs w:val="20"/>
              </w:rPr>
              <w:t>St Vincent</w:t>
            </w:r>
            <w:r w:rsidRPr="004E517D">
              <w:rPr>
                <w:rFonts w:asciiTheme="majorHAnsi" w:hAnsiTheme="majorHAnsi" w:cstheme="majorHAnsi"/>
                <w:noProof w:val="0"/>
                <w:sz w:val="20"/>
                <w:szCs w:val="20"/>
              </w:rPr>
              <w:t>:</w:t>
            </w:r>
            <w:r>
              <w:rPr>
                <w:rFonts w:asciiTheme="majorHAnsi" w:hAnsiTheme="majorHAnsi" w:cstheme="majorHAnsi"/>
                <w:noProof w:val="0"/>
                <w:sz w:val="20"/>
                <w:szCs w:val="20"/>
              </w:rPr>
              <w:t xml:space="preserve"> The project consists of two exploratory drill pads/wells, with one injection well accompanying each one, a water system (water intake from local river, water supply pipeline, and a water storage pond). The rig for drilling was shipped to the island and transported to the site and is currently drilling on the first well pad. AN ESIA was undertaken </w:t>
            </w:r>
            <w:r>
              <w:rPr>
                <w:rFonts w:asciiTheme="majorHAnsi" w:hAnsiTheme="majorHAnsi" w:cstheme="majorHAnsi"/>
                <w:noProof w:val="0"/>
                <w:sz w:val="20"/>
                <w:szCs w:val="20"/>
              </w:rPr>
              <w:lastRenderedPageBreak/>
              <w:t xml:space="preserve">for the exploratory phase and is published on CDBs website. If geothermal resource </w:t>
            </w:r>
            <w:r w:rsidR="00B23A83">
              <w:rPr>
                <w:rFonts w:asciiTheme="majorHAnsi" w:hAnsiTheme="majorHAnsi" w:cstheme="majorHAnsi"/>
                <w:noProof w:val="0"/>
                <w:sz w:val="20"/>
                <w:szCs w:val="20"/>
              </w:rPr>
              <w:t>had been</w:t>
            </w:r>
            <w:r>
              <w:rPr>
                <w:rFonts w:asciiTheme="majorHAnsi" w:hAnsiTheme="majorHAnsi" w:cstheme="majorHAnsi"/>
                <w:noProof w:val="0"/>
                <w:sz w:val="20"/>
                <w:szCs w:val="20"/>
              </w:rPr>
              <w:t xml:space="preserve"> found, the project would </w:t>
            </w:r>
            <w:r w:rsidR="00B23A83">
              <w:rPr>
                <w:rFonts w:asciiTheme="majorHAnsi" w:hAnsiTheme="majorHAnsi" w:cstheme="majorHAnsi"/>
                <w:noProof w:val="0"/>
                <w:sz w:val="20"/>
                <w:szCs w:val="20"/>
              </w:rPr>
              <w:t xml:space="preserve">have </w:t>
            </w:r>
            <w:r>
              <w:rPr>
                <w:rFonts w:asciiTheme="majorHAnsi" w:hAnsiTheme="majorHAnsi" w:cstheme="majorHAnsi"/>
                <w:noProof w:val="0"/>
                <w:sz w:val="20"/>
                <w:szCs w:val="20"/>
              </w:rPr>
              <w:t>be</w:t>
            </w:r>
            <w:r w:rsidR="00B23A83">
              <w:rPr>
                <w:rFonts w:asciiTheme="majorHAnsi" w:hAnsiTheme="majorHAnsi" w:cstheme="majorHAnsi"/>
                <w:noProof w:val="0"/>
                <w:sz w:val="20"/>
                <w:szCs w:val="20"/>
              </w:rPr>
              <w:t>en</w:t>
            </w:r>
            <w:r>
              <w:rPr>
                <w:rFonts w:asciiTheme="majorHAnsi" w:hAnsiTheme="majorHAnsi" w:cstheme="majorHAnsi"/>
                <w:noProof w:val="0"/>
                <w:sz w:val="20"/>
                <w:szCs w:val="20"/>
              </w:rPr>
              <w:t xml:space="preserve"> developed to include production wells, power plant and transmission line</w:t>
            </w:r>
            <w:r w:rsidR="00B23A83">
              <w:rPr>
                <w:rFonts w:asciiTheme="majorHAnsi" w:hAnsiTheme="majorHAnsi" w:cstheme="majorHAnsi"/>
                <w:noProof w:val="0"/>
                <w:sz w:val="20"/>
                <w:szCs w:val="20"/>
              </w:rPr>
              <w:t>.</w:t>
            </w:r>
          </w:p>
          <w:p w14:paraId="2C983D24" w14:textId="6E220564" w:rsidR="002169E7" w:rsidRPr="005F57B3" w:rsidRDefault="002169E7" w:rsidP="002169E7">
            <w:pPr>
              <w:spacing w:before="120" w:after="120"/>
              <w:rPr>
                <w:rFonts w:asciiTheme="majorHAnsi" w:hAnsiTheme="majorHAnsi" w:cstheme="majorHAnsi"/>
                <w:noProof w:val="0"/>
                <w:sz w:val="20"/>
                <w:szCs w:val="20"/>
              </w:rPr>
            </w:pPr>
            <w:r w:rsidRPr="005F57B3">
              <w:rPr>
                <w:rFonts w:asciiTheme="majorHAnsi" w:hAnsiTheme="majorHAnsi" w:cstheme="majorHAnsi"/>
                <w:b/>
                <w:bCs/>
                <w:noProof w:val="0"/>
                <w:sz w:val="20"/>
                <w:szCs w:val="20"/>
              </w:rPr>
              <w:t>Nevis:</w:t>
            </w:r>
            <w:r w:rsidRPr="005F57B3">
              <w:rPr>
                <w:rFonts w:asciiTheme="majorHAnsi" w:hAnsiTheme="majorHAnsi" w:cstheme="majorHAnsi"/>
                <w:noProof w:val="0"/>
                <w:sz w:val="20"/>
                <w:szCs w:val="20"/>
              </w:rPr>
              <w:t xml:space="preserve"> The </w:t>
            </w:r>
            <w:r w:rsidR="00875358">
              <w:rPr>
                <w:rFonts w:asciiTheme="majorHAnsi" w:hAnsiTheme="majorHAnsi" w:cstheme="majorHAnsi"/>
                <w:noProof w:val="0"/>
                <w:sz w:val="20"/>
                <w:szCs w:val="20"/>
              </w:rPr>
              <w:t xml:space="preserve">initially </w:t>
            </w:r>
            <w:r w:rsidRPr="005F57B3">
              <w:rPr>
                <w:rFonts w:asciiTheme="majorHAnsi" w:hAnsiTheme="majorHAnsi" w:cstheme="majorHAnsi"/>
                <w:noProof w:val="0"/>
                <w:sz w:val="20"/>
                <w:szCs w:val="20"/>
              </w:rPr>
              <w:t xml:space="preserve">proposed NREI Nevis Geothermal Development Project at Hamilton Estates would consist of a 10-MW gross (9-MW net) </w:t>
            </w:r>
            <w:proofErr w:type="spellStart"/>
            <w:r w:rsidRPr="005F57B3">
              <w:rPr>
                <w:rFonts w:asciiTheme="majorHAnsi" w:hAnsiTheme="majorHAnsi" w:cstheme="majorHAnsi"/>
                <w:noProof w:val="0"/>
                <w:sz w:val="20"/>
                <w:szCs w:val="20"/>
              </w:rPr>
              <w:t>Turboden</w:t>
            </w:r>
            <w:proofErr w:type="spellEnd"/>
            <w:r w:rsidRPr="005F57B3">
              <w:rPr>
                <w:rFonts w:asciiTheme="majorHAnsi" w:hAnsiTheme="majorHAnsi" w:cstheme="majorHAnsi"/>
                <w:noProof w:val="0"/>
                <w:sz w:val="20"/>
                <w:szCs w:val="20"/>
              </w:rPr>
              <w:t xml:space="preserve"> binary power plant, that includes two 5-MW binary cycle generators, two production wells, one injection well, pipelines, and related facilities. An associated facility is a 33-kV transmission intertie line between the NREI geothermal plant site at Hamilton Estates and the Prospect Substation near Charlestown.</w:t>
            </w:r>
            <w:r>
              <w:rPr>
                <w:rFonts w:asciiTheme="majorHAnsi" w:hAnsiTheme="majorHAnsi" w:cstheme="majorHAnsi"/>
                <w:noProof w:val="0"/>
                <w:sz w:val="20"/>
                <w:szCs w:val="20"/>
              </w:rPr>
              <w:t xml:space="preserve"> An ESIA was undertaken in 2017, however CDB and IDB review found it to be considerably lacking and have suggested it be considerably updated.</w:t>
            </w:r>
            <w:r w:rsidR="008C0A22">
              <w:rPr>
                <w:rFonts w:asciiTheme="majorHAnsi" w:hAnsiTheme="majorHAnsi" w:cstheme="majorHAnsi"/>
                <w:noProof w:val="0"/>
                <w:sz w:val="20"/>
                <w:szCs w:val="20"/>
              </w:rPr>
              <w:t xml:space="preserve"> </w:t>
            </w:r>
            <w:r w:rsidR="00F44868">
              <w:rPr>
                <w:rFonts w:asciiTheme="majorHAnsi" w:hAnsiTheme="majorHAnsi" w:cstheme="majorHAnsi"/>
                <w:noProof w:val="0"/>
                <w:sz w:val="20"/>
                <w:szCs w:val="20"/>
              </w:rPr>
              <w:t xml:space="preserve">IDB has funded a supplemental ESIA which is in its final stages of preparation. </w:t>
            </w:r>
            <w:r w:rsidR="008C0A22">
              <w:rPr>
                <w:rFonts w:asciiTheme="majorHAnsi" w:hAnsiTheme="majorHAnsi" w:cstheme="majorHAnsi"/>
                <w:noProof w:val="0"/>
                <w:sz w:val="20"/>
                <w:szCs w:val="20"/>
              </w:rPr>
              <w:t>Currently, NREI is considering to only request funding for the exploratory drilling, which w</w:t>
            </w:r>
            <w:r w:rsidR="00875358">
              <w:rPr>
                <w:rFonts w:asciiTheme="majorHAnsi" w:hAnsiTheme="majorHAnsi" w:cstheme="majorHAnsi"/>
                <w:noProof w:val="0"/>
                <w:sz w:val="20"/>
                <w:szCs w:val="20"/>
              </w:rPr>
              <w:t>ould</w:t>
            </w:r>
            <w:r w:rsidR="008C0A22">
              <w:rPr>
                <w:rFonts w:asciiTheme="majorHAnsi" w:hAnsiTheme="majorHAnsi" w:cstheme="majorHAnsi"/>
                <w:noProof w:val="0"/>
                <w:sz w:val="20"/>
                <w:szCs w:val="20"/>
              </w:rPr>
              <w:t xml:space="preserve"> require an adjustment to the </w:t>
            </w:r>
            <w:r w:rsidR="00AC171B">
              <w:rPr>
                <w:rFonts w:asciiTheme="majorHAnsi" w:hAnsiTheme="majorHAnsi" w:cstheme="majorHAnsi"/>
                <w:noProof w:val="0"/>
                <w:sz w:val="20"/>
                <w:szCs w:val="20"/>
              </w:rPr>
              <w:t>E&amp;S</w:t>
            </w:r>
            <w:r w:rsidR="008C0A22">
              <w:rPr>
                <w:rFonts w:asciiTheme="majorHAnsi" w:hAnsiTheme="majorHAnsi" w:cstheme="majorHAnsi"/>
                <w:noProof w:val="0"/>
                <w:sz w:val="20"/>
                <w:szCs w:val="20"/>
              </w:rPr>
              <w:t xml:space="preserve"> assessment documents.</w:t>
            </w:r>
            <w:r>
              <w:rPr>
                <w:rFonts w:asciiTheme="majorHAnsi" w:hAnsiTheme="majorHAnsi" w:cstheme="majorHAnsi"/>
                <w:noProof w:val="0"/>
                <w:sz w:val="20"/>
                <w:szCs w:val="20"/>
              </w:rPr>
              <w:t xml:space="preserve"> A decision is pending by CDB and NREI on next steps</w:t>
            </w:r>
            <w:r w:rsidR="00875358">
              <w:rPr>
                <w:rFonts w:asciiTheme="majorHAnsi" w:hAnsiTheme="majorHAnsi" w:cstheme="majorHAnsi"/>
                <w:noProof w:val="0"/>
                <w:sz w:val="20"/>
                <w:szCs w:val="20"/>
              </w:rPr>
              <w:t xml:space="preserve">. </w:t>
            </w:r>
            <w:r w:rsidR="00A55069">
              <w:rPr>
                <w:rFonts w:asciiTheme="majorHAnsi" w:hAnsiTheme="majorHAnsi" w:cstheme="majorHAnsi"/>
                <w:noProof w:val="0"/>
                <w:sz w:val="20"/>
                <w:szCs w:val="20"/>
              </w:rPr>
              <w:t xml:space="preserve">See implementation status, below, for </w:t>
            </w:r>
            <w:r w:rsidR="00875358">
              <w:rPr>
                <w:rFonts w:asciiTheme="majorHAnsi" w:hAnsiTheme="majorHAnsi" w:cstheme="majorHAnsi"/>
                <w:noProof w:val="0"/>
                <w:sz w:val="20"/>
                <w:szCs w:val="20"/>
              </w:rPr>
              <w:t xml:space="preserve">other </w:t>
            </w:r>
            <w:r w:rsidR="00A55069">
              <w:rPr>
                <w:rFonts w:asciiTheme="majorHAnsi" w:hAnsiTheme="majorHAnsi" w:cstheme="majorHAnsi"/>
                <w:noProof w:val="0"/>
                <w:sz w:val="20"/>
                <w:szCs w:val="20"/>
              </w:rPr>
              <w:t>details</w:t>
            </w:r>
            <w:r>
              <w:rPr>
                <w:rFonts w:asciiTheme="majorHAnsi" w:hAnsiTheme="majorHAnsi" w:cstheme="majorHAnsi"/>
                <w:noProof w:val="0"/>
                <w:sz w:val="20"/>
                <w:szCs w:val="20"/>
              </w:rPr>
              <w:t>.</w:t>
            </w:r>
          </w:p>
          <w:p w14:paraId="16D57693" w14:textId="2A35D1E1" w:rsidR="004E517D" w:rsidRDefault="002169E7" w:rsidP="002169E7">
            <w:pPr>
              <w:spacing w:before="120" w:after="120"/>
              <w:rPr>
                <w:rFonts w:asciiTheme="majorHAnsi" w:hAnsiTheme="majorHAnsi" w:cstheme="majorHAnsi"/>
                <w:noProof w:val="0"/>
                <w:sz w:val="20"/>
                <w:szCs w:val="20"/>
              </w:rPr>
            </w:pPr>
            <w:r w:rsidRPr="005F57B3">
              <w:rPr>
                <w:rFonts w:asciiTheme="majorHAnsi" w:hAnsiTheme="majorHAnsi" w:cstheme="majorHAnsi"/>
                <w:b/>
                <w:bCs/>
                <w:noProof w:val="0"/>
                <w:sz w:val="20"/>
                <w:szCs w:val="20"/>
              </w:rPr>
              <w:t>Grenada:</w:t>
            </w:r>
            <w:r w:rsidRPr="005F57B3">
              <w:rPr>
                <w:rFonts w:asciiTheme="majorHAnsi" w:hAnsiTheme="majorHAnsi" w:cstheme="majorHAnsi"/>
                <w:noProof w:val="0"/>
                <w:sz w:val="20"/>
                <w:szCs w:val="20"/>
              </w:rPr>
              <w:t xml:space="preserve"> The project consists of exploratory drilling</w:t>
            </w:r>
            <w:r>
              <w:rPr>
                <w:rFonts w:asciiTheme="majorHAnsi" w:hAnsiTheme="majorHAnsi" w:cstheme="majorHAnsi"/>
                <w:noProof w:val="0"/>
                <w:sz w:val="20"/>
                <w:szCs w:val="20"/>
              </w:rPr>
              <w:t xml:space="preserve"> with</w:t>
            </w:r>
            <w:r w:rsidRPr="005F57B3">
              <w:rPr>
                <w:rFonts w:asciiTheme="majorHAnsi" w:hAnsiTheme="majorHAnsi" w:cstheme="majorHAnsi"/>
                <w:noProof w:val="0"/>
                <w:sz w:val="20"/>
                <w:szCs w:val="20"/>
              </w:rPr>
              <w:t xml:space="preserve"> two exploratory wells which intends to confirm the presence of the geothermal resource, which is </w:t>
            </w:r>
            <w:r w:rsidR="00106B61">
              <w:rPr>
                <w:rFonts w:asciiTheme="majorHAnsi" w:hAnsiTheme="majorHAnsi" w:cstheme="majorHAnsi"/>
                <w:noProof w:val="0"/>
                <w:sz w:val="20"/>
                <w:szCs w:val="20"/>
              </w:rPr>
              <w:t xml:space="preserve">indicated </w:t>
            </w:r>
            <w:r w:rsidRPr="005F57B3">
              <w:rPr>
                <w:rFonts w:asciiTheme="majorHAnsi" w:hAnsiTheme="majorHAnsi" w:cstheme="majorHAnsi"/>
                <w:noProof w:val="0"/>
                <w:sz w:val="20"/>
                <w:szCs w:val="20"/>
              </w:rPr>
              <w:t>through a pre-feasibility study to be technically and commercially viable. If geothermal resource is found, the project would include full size production and reinjection wells</w:t>
            </w:r>
            <w:r>
              <w:rPr>
                <w:rFonts w:asciiTheme="majorHAnsi" w:hAnsiTheme="majorHAnsi" w:cstheme="majorHAnsi"/>
                <w:noProof w:val="0"/>
                <w:sz w:val="20"/>
                <w:szCs w:val="20"/>
              </w:rPr>
              <w:t>. An ESIA for the exploratory phase is currently underway</w:t>
            </w:r>
            <w:r w:rsidR="00106B61">
              <w:rPr>
                <w:rFonts w:asciiTheme="majorHAnsi" w:hAnsiTheme="majorHAnsi" w:cstheme="majorHAnsi"/>
                <w:noProof w:val="0"/>
                <w:sz w:val="20"/>
                <w:szCs w:val="20"/>
              </w:rPr>
              <w:t xml:space="preserve"> but facing delays (please see more details under “implementation”, below)</w:t>
            </w:r>
            <w:r>
              <w:rPr>
                <w:rFonts w:asciiTheme="majorHAnsi" w:hAnsiTheme="majorHAnsi" w:cstheme="majorHAnsi"/>
                <w:noProof w:val="0"/>
                <w:sz w:val="20"/>
                <w:szCs w:val="20"/>
              </w:rPr>
              <w:t>.</w:t>
            </w:r>
          </w:p>
          <w:p w14:paraId="6F8C8591" w14:textId="6DC164A6" w:rsidR="00DC4B00" w:rsidRPr="00DC4B00" w:rsidRDefault="00DC4B00" w:rsidP="002169E7">
            <w:pPr>
              <w:spacing w:before="120" w:after="120"/>
              <w:rPr>
                <w:rFonts w:asciiTheme="majorHAnsi" w:hAnsiTheme="majorHAnsi" w:cstheme="majorHAnsi"/>
                <w:noProof w:val="0"/>
                <w:sz w:val="20"/>
                <w:szCs w:val="20"/>
              </w:rPr>
            </w:pPr>
            <w:r>
              <w:rPr>
                <w:rFonts w:asciiTheme="majorHAnsi" w:hAnsiTheme="majorHAnsi" w:cstheme="majorHAnsi"/>
                <w:b/>
                <w:bCs/>
                <w:noProof w:val="0"/>
                <w:sz w:val="20"/>
                <w:szCs w:val="20"/>
              </w:rPr>
              <w:t>Dominica:</w:t>
            </w:r>
            <w:r>
              <w:rPr>
                <w:rFonts w:asciiTheme="majorHAnsi" w:hAnsiTheme="majorHAnsi" w:cstheme="majorHAnsi"/>
                <w:noProof w:val="0"/>
                <w:sz w:val="20"/>
                <w:szCs w:val="20"/>
              </w:rPr>
              <w:t xml:space="preserve"> </w:t>
            </w:r>
            <w:r w:rsidR="00875358">
              <w:rPr>
                <w:rFonts w:asciiTheme="majorHAnsi" w:hAnsiTheme="majorHAnsi" w:cstheme="majorHAnsi"/>
                <w:noProof w:val="0"/>
                <w:sz w:val="20"/>
                <w:szCs w:val="20"/>
              </w:rPr>
              <w:t xml:space="preserve">Dominica geothermal project </w:t>
            </w:r>
            <w:r w:rsidR="00F44868">
              <w:rPr>
                <w:rFonts w:asciiTheme="majorHAnsi" w:hAnsiTheme="majorHAnsi" w:cstheme="majorHAnsi"/>
                <w:noProof w:val="0"/>
                <w:sz w:val="20"/>
                <w:szCs w:val="20"/>
              </w:rPr>
              <w:t xml:space="preserve">is a </w:t>
            </w:r>
            <w:r w:rsidR="00F44868" w:rsidRPr="00F44868">
              <w:rPr>
                <w:rFonts w:asciiTheme="majorHAnsi" w:hAnsiTheme="majorHAnsi" w:cstheme="majorHAnsi"/>
                <w:noProof w:val="0"/>
                <w:sz w:val="20"/>
                <w:szCs w:val="20"/>
              </w:rPr>
              <w:t>proposed 7 MW power plant development</w:t>
            </w:r>
            <w:r w:rsidR="00F44868">
              <w:rPr>
                <w:rFonts w:asciiTheme="majorHAnsi" w:hAnsiTheme="majorHAnsi" w:cstheme="majorHAnsi"/>
                <w:noProof w:val="0"/>
                <w:sz w:val="20"/>
                <w:szCs w:val="20"/>
              </w:rPr>
              <w:t>,</w:t>
            </w:r>
            <w:r w:rsidR="00F44868" w:rsidRPr="00F44868">
              <w:rPr>
                <w:rFonts w:asciiTheme="majorHAnsi" w:hAnsiTheme="majorHAnsi" w:cstheme="majorHAnsi"/>
                <w:noProof w:val="0"/>
                <w:sz w:val="20"/>
                <w:szCs w:val="20"/>
              </w:rPr>
              <w:t xml:space="preserve"> includ</w:t>
            </w:r>
            <w:r w:rsidR="00F44868">
              <w:rPr>
                <w:rFonts w:asciiTheme="majorHAnsi" w:hAnsiTheme="majorHAnsi" w:cstheme="majorHAnsi"/>
                <w:noProof w:val="0"/>
                <w:sz w:val="20"/>
                <w:szCs w:val="20"/>
              </w:rPr>
              <w:t>in</w:t>
            </w:r>
            <w:r w:rsidR="00056774">
              <w:rPr>
                <w:rFonts w:asciiTheme="majorHAnsi" w:hAnsiTheme="majorHAnsi" w:cstheme="majorHAnsi"/>
                <w:noProof w:val="0"/>
                <w:sz w:val="20"/>
                <w:szCs w:val="20"/>
              </w:rPr>
              <w:t>g</w:t>
            </w:r>
            <w:r w:rsidR="00F44868" w:rsidRPr="00F44868">
              <w:rPr>
                <w:rFonts w:asciiTheme="majorHAnsi" w:hAnsiTheme="majorHAnsi" w:cstheme="majorHAnsi"/>
                <w:noProof w:val="0"/>
                <w:sz w:val="20"/>
                <w:szCs w:val="20"/>
              </w:rPr>
              <w:t xml:space="preserve"> </w:t>
            </w:r>
            <w:r w:rsidR="00056774">
              <w:rPr>
                <w:rFonts w:asciiTheme="majorHAnsi" w:hAnsiTheme="majorHAnsi" w:cstheme="majorHAnsi"/>
                <w:noProof w:val="0"/>
                <w:sz w:val="20"/>
                <w:szCs w:val="20"/>
              </w:rPr>
              <w:t>p</w:t>
            </w:r>
            <w:r w:rsidR="00F44868" w:rsidRPr="00F44868">
              <w:rPr>
                <w:rFonts w:asciiTheme="majorHAnsi" w:hAnsiTheme="majorHAnsi" w:cstheme="majorHAnsi"/>
                <w:noProof w:val="0"/>
                <w:sz w:val="20"/>
                <w:szCs w:val="20"/>
              </w:rPr>
              <w:t xml:space="preserve">roduction well </w:t>
            </w:r>
            <w:r w:rsidR="00056774">
              <w:rPr>
                <w:rFonts w:asciiTheme="majorHAnsi" w:hAnsiTheme="majorHAnsi" w:cstheme="majorHAnsi"/>
                <w:noProof w:val="0"/>
                <w:sz w:val="20"/>
                <w:szCs w:val="20"/>
              </w:rPr>
              <w:t>and two</w:t>
            </w:r>
            <w:r w:rsidR="00F44868" w:rsidRPr="00F44868">
              <w:rPr>
                <w:rFonts w:asciiTheme="majorHAnsi" w:hAnsiTheme="majorHAnsi" w:cstheme="majorHAnsi"/>
                <w:noProof w:val="0"/>
                <w:sz w:val="20"/>
                <w:szCs w:val="20"/>
              </w:rPr>
              <w:t xml:space="preserve"> </w:t>
            </w:r>
            <w:r w:rsidR="00056774">
              <w:rPr>
                <w:rFonts w:asciiTheme="majorHAnsi" w:hAnsiTheme="majorHAnsi" w:cstheme="majorHAnsi"/>
                <w:noProof w:val="0"/>
                <w:sz w:val="20"/>
                <w:szCs w:val="20"/>
              </w:rPr>
              <w:t>r</w:t>
            </w:r>
            <w:r w:rsidR="00F44868" w:rsidRPr="00F44868">
              <w:rPr>
                <w:rFonts w:asciiTheme="majorHAnsi" w:hAnsiTheme="majorHAnsi" w:cstheme="majorHAnsi"/>
                <w:noProof w:val="0"/>
                <w:sz w:val="20"/>
                <w:szCs w:val="20"/>
              </w:rPr>
              <w:t>einjection wells</w:t>
            </w:r>
            <w:r w:rsidR="00056774">
              <w:rPr>
                <w:rFonts w:asciiTheme="majorHAnsi" w:hAnsiTheme="majorHAnsi" w:cstheme="majorHAnsi"/>
                <w:noProof w:val="0"/>
                <w:sz w:val="20"/>
                <w:szCs w:val="20"/>
              </w:rPr>
              <w:t>;</w:t>
            </w:r>
            <w:r w:rsidR="00F44868" w:rsidRPr="00F44868">
              <w:rPr>
                <w:rFonts w:asciiTheme="majorHAnsi" w:hAnsiTheme="majorHAnsi" w:cstheme="majorHAnsi"/>
                <w:noProof w:val="0"/>
                <w:sz w:val="20"/>
                <w:szCs w:val="20"/>
              </w:rPr>
              <w:t xml:space="preserve"> </w:t>
            </w:r>
            <w:proofErr w:type="spellStart"/>
            <w:r w:rsidR="00F44868" w:rsidRPr="00F44868">
              <w:rPr>
                <w:rFonts w:asciiTheme="majorHAnsi" w:hAnsiTheme="majorHAnsi" w:cstheme="majorHAnsi"/>
                <w:noProof w:val="0"/>
                <w:sz w:val="20"/>
                <w:szCs w:val="20"/>
              </w:rPr>
              <w:t>Steamfield</w:t>
            </w:r>
            <w:proofErr w:type="spellEnd"/>
            <w:r w:rsidR="00F44868" w:rsidRPr="00F44868">
              <w:rPr>
                <w:rFonts w:asciiTheme="majorHAnsi" w:hAnsiTheme="majorHAnsi" w:cstheme="majorHAnsi"/>
                <w:noProof w:val="0"/>
                <w:sz w:val="20"/>
                <w:szCs w:val="20"/>
              </w:rPr>
              <w:t xml:space="preserve"> infrastructure including two phase piping, steam separators, atmospheric flash tank, steam</w:t>
            </w:r>
            <w:r w:rsidR="00056774">
              <w:rPr>
                <w:rFonts w:asciiTheme="majorHAnsi" w:hAnsiTheme="majorHAnsi" w:cstheme="majorHAnsi"/>
                <w:noProof w:val="0"/>
                <w:sz w:val="20"/>
                <w:szCs w:val="20"/>
              </w:rPr>
              <w:t xml:space="preserve"> </w:t>
            </w:r>
            <w:r w:rsidR="00F44868" w:rsidRPr="00F44868">
              <w:rPr>
                <w:rFonts w:asciiTheme="majorHAnsi" w:hAnsiTheme="majorHAnsi" w:cstheme="majorHAnsi"/>
                <w:noProof w:val="0"/>
                <w:sz w:val="20"/>
                <w:szCs w:val="20"/>
              </w:rPr>
              <w:t>gathering system, brine collection and disposal system, condensate collection and disposal system,</w:t>
            </w:r>
            <w:r w:rsidR="00056774">
              <w:rPr>
                <w:rFonts w:asciiTheme="majorHAnsi" w:hAnsiTheme="majorHAnsi" w:cstheme="majorHAnsi"/>
                <w:noProof w:val="0"/>
                <w:sz w:val="20"/>
                <w:szCs w:val="20"/>
              </w:rPr>
              <w:t xml:space="preserve"> </w:t>
            </w:r>
            <w:r w:rsidR="00F44868" w:rsidRPr="00F44868">
              <w:rPr>
                <w:rFonts w:asciiTheme="majorHAnsi" w:hAnsiTheme="majorHAnsi" w:cstheme="majorHAnsi"/>
                <w:noProof w:val="0"/>
                <w:sz w:val="20"/>
                <w:szCs w:val="20"/>
              </w:rPr>
              <w:t>pressure relief system and storage sump; Supporting infrastructure including well pads, turbine building, primary and ancillary equipment, cooling</w:t>
            </w:r>
            <w:r w:rsidR="00056774">
              <w:rPr>
                <w:rFonts w:asciiTheme="majorHAnsi" w:hAnsiTheme="majorHAnsi" w:cstheme="majorHAnsi"/>
                <w:noProof w:val="0"/>
                <w:sz w:val="20"/>
                <w:szCs w:val="20"/>
              </w:rPr>
              <w:t xml:space="preserve"> </w:t>
            </w:r>
            <w:r w:rsidR="00F44868" w:rsidRPr="00F44868">
              <w:rPr>
                <w:rFonts w:asciiTheme="majorHAnsi" w:hAnsiTheme="majorHAnsi" w:cstheme="majorHAnsi"/>
                <w:noProof w:val="0"/>
                <w:sz w:val="20"/>
                <w:szCs w:val="20"/>
              </w:rPr>
              <w:t>system, road network, water supply and wastewater treatment; and</w:t>
            </w:r>
            <w:r w:rsidR="00056774">
              <w:rPr>
                <w:rFonts w:asciiTheme="majorHAnsi" w:hAnsiTheme="majorHAnsi" w:cstheme="majorHAnsi"/>
                <w:noProof w:val="0"/>
                <w:sz w:val="20"/>
                <w:szCs w:val="20"/>
              </w:rPr>
              <w:t xml:space="preserve"> </w:t>
            </w:r>
            <w:r w:rsidR="00F44868" w:rsidRPr="00F44868">
              <w:rPr>
                <w:rFonts w:asciiTheme="majorHAnsi" w:hAnsiTheme="majorHAnsi" w:cstheme="majorHAnsi"/>
                <w:noProof w:val="0"/>
                <w:sz w:val="20"/>
                <w:szCs w:val="20"/>
              </w:rPr>
              <w:t>11 kV underground interconnection to the DOMLEC electricity grid at the power plant site.</w:t>
            </w:r>
            <w:r w:rsidR="00056774">
              <w:rPr>
                <w:rFonts w:asciiTheme="majorHAnsi" w:hAnsiTheme="majorHAnsi" w:cstheme="majorHAnsi"/>
                <w:noProof w:val="0"/>
                <w:sz w:val="20"/>
                <w:szCs w:val="20"/>
              </w:rPr>
              <w:t xml:space="preserve"> Since the 2018 ESIA was disclosed, there have been changes in the project design which could potentially reduce the scope of certain negative potential E&amp;S impacts. An addendum to the ESIA is being prepared with funding from the IDB.</w:t>
            </w:r>
          </w:p>
          <w:p w14:paraId="42385662" w14:textId="345565F0" w:rsidR="003E5701" w:rsidRPr="00DA3694" w:rsidRDefault="00701E11" w:rsidP="00074CC4">
            <w:pPr>
              <w:spacing w:before="120" w:after="120"/>
              <w:rPr>
                <w:rFonts w:asciiTheme="majorHAnsi" w:hAnsiTheme="majorHAnsi" w:cstheme="majorHAnsi"/>
                <w:b/>
                <w:bCs/>
                <w:noProof w:val="0"/>
                <w:sz w:val="20"/>
                <w:szCs w:val="20"/>
                <w:u w:val="single"/>
              </w:rPr>
            </w:pPr>
            <w:r w:rsidRPr="00DA3694">
              <w:rPr>
                <w:rFonts w:asciiTheme="majorHAnsi" w:hAnsiTheme="majorHAnsi" w:cstheme="majorHAnsi"/>
                <w:b/>
                <w:bCs/>
                <w:noProof w:val="0"/>
                <w:sz w:val="20"/>
                <w:szCs w:val="20"/>
                <w:u w:val="single"/>
              </w:rPr>
              <w:t>Implementation Status</w:t>
            </w:r>
            <w:r w:rsidR="003A2B0D" w:rsidRPr="00DA3694">
              <w:rPr>
                <w:rFonts w:asciiTheme="majorHAnsi" w:hAnsiTheme="majorHAnsi" w:cstheme="majorHAnsi"/>
                <w:b/>
                <w:bCs/>
                <w:noProof w:val="0"/>
                <w:sz w:val="20"/>
                <w:szCs w:val="20"/>
                <w:u w:val="single"/>
              </w:rPr>
              <w:t xml:space="preserve">: </w:t>
            </w:r>
            <w:bookmarkStart w:id="3" w:name="_Hlk485205482"/>
          </w:p>
          <w:p w14:paraId="4B347FC7" w14:textId="2F3F3230" w:rsidR="005C5249" w:rsidRDefault="005C5249" w:rsidP="00074CC4">
            <w:pPr>
              <w:spacing w:before="120" w:after="120"/>
              <w:rPr>
                <w:rFonts w:asciiTheme="majorHAnsi" w:hAnsiTheme="majorHAnsi" w:cstheme="majorHAnsi"/>
                <w:noProof w:val="0"/>
                <w:sz w:val="20"/>
                <w:szCs w:val="20"/>
              </w:rPr>
            </w:pPr>
            <w:r>
              <w:rPr>
                <w:rFonts w:asciiTheme="majorHAnsi" w:hAnsiTheme="majorHAnsi" w:cstheme="majorHAnsi"/>
                <w:noProof w:val="0"/>
                <w:sz w:val="20"/>
                <w:szCs w:val="20"/>
              </w:rPr>
              <w:t xml:space="preserve">According to the </w:t>
            </w:r>
            <w:r w:rsidR="00846AEC">
              <w:rPr>
                <w:rFonts w:asciiTheme="majorHAnsi" w:hAnsiTheme="majorHAnsi" w:cstheme="majorHAnsi"/>
                <w:noProof w:val="0"/>
                <w:sz w:val="20"/>
                <w:szCs w:val="20"/>
              </w:rPr>
              <w:t xml:space="preserve">ROP for the SEF, CDB </w:t>
            </w:r>
            <w:r w:rsidR="00DC4CBA">
              <w:rPr>
                <w:rFonts w:asciiTheme="majorHAnsi" w:hAnsiTheme="majorHAnsi" w:cstheme="majorHAnsi"/>
                <w:noProof w:val="0"/>
                <w:sz w:val="20"/>
                <w:szCs w:val="20"/>
              </w:rPr>
              <w:t>sh</w:t>
            </w:r>
            <w:r w:rsidR="00846AEC">
              <w:rPr>
                <w:rFonts w:asciiTheme="majorHAnsi" w:hAnsiTheme="majorHAnsi" w:cstheme="majorHAnsi"/>
                <w:noProof w:val="0"/>
                <w:sz w:val="20"/>
                <w:szCs w:val="20"/>
              </w:rPr>
              <w:t xml:space="preserve">ould lead in E&amp;S project matters. In reality, </w:t>
            </w:r>
            <w:proofErr w:type="gramStart"/>
            <w:r w:rsidR="00846AEC">
              <w:rPr>
                <w:rFonts w:asciiTheme="majorHAnsi" w:hAnsiTheme="majorHAnsi" w:cstheme="majorHAnsi"/>
                <w:noProof w:val="0"/>
                <w:sz w:val="20"/>
                <w:szCs w:val="20"/>
              </w:rPr>
              <w:t>more often than not</w:t>
            </w:r>
            <w:proofErr w:type="gramEnd"/>
            <w:r w:rsidR="00DC4CBA">
              <w:rPr>
                <w:rFonts w:asciiTheme="majorHAnsi" w:hAnsiTheme="majorHAnsi" w:cstheme="majorHAnsi"/>
                <w:noProof w:val="0"/>
                <w:sz w:val="20"/>
                <w:szCs w:val="20"/>
              </w:rPr>
              <w:t>,</w:t>
            </w:r>
            <w:r w:rsidR="00846AEC">
              <w:rPr>
                <w:rFonts w:asciiTheme="majorHAnsi" w:hAnsiTheme="majorHAnsi" w:cstheme="majorHAnsi"/>
                <w:noProof w:val="0"/>
                <w:sz w:val="20"/>
                <w:szCs w:val="20"/>
              </w:rPr>
              <w:t xml:space="preserve"> the IDB has been leading </w:t>
            </w:r>
            <w:proofErr w:type="spellStart"/>
            <w:r w:rsidR="00846AEC">
              <w:rPr>
                <w:rFonts w:asciiTheme="majorHAnsi" w:hAnsiTheme="majorHAnsi" w:cstheme="majorHAnsi"/>
                <w:noProof w:val="0"/>
                <w:sz w:val="20"/>
                <w:szCs w:val="20"/>
              </w:rPr>
              <w:t>ToR</w:t>
            </w:r>
            <w:proofErr w:type="spellEnd"/>
            <w:r w:rsidR="00846AEC">
              <w:rPr>
                <w:rFonts w:asciiTheme="majorHAnsi" w:hAnsiTheme="majorHAnsi" w:cstheme="majorHAnsi"/>
                <w:noProof w:val="0"/>
                <w:sz w:val="20"/>
                <w:szCs w:val="20"/>
              </w:rPr>
              <w:t xml:space="preserve"> preparation, ESIA review comments, etc. Delays in the review times by the CDB in some of the projects have been significant. </w:t>
            </w:r>
          </w:p>
          <w:p w14:paraId="1C604F4F" w14:textId="3AB9F9BB" w:rsidR="00846AEC" w:rsidRPr="005F57B3" w:rsidRDefault="00846AEC" w:rsidP="00074CC4">
            <w:pPr>
              <w:spacing w:before="120" w:after="120"/>
              <w:rPr>
                <w:rFonts w:asciiTheme="majorHAnsi" w:hAnsiTheme="majorHAnsi" w:cstheme="majorHAnsi"/>
                <w:noProof w:val="0"/>
                <w:sz w:val="20"/>
                <w:szCs w:val="20"/>
              </w:rPr>
            </w:pPr>
            <w:r>
              <w:rPr>
                <w:rFonts w:asciiTheme="majorHAnsi" w:hAnsiTheme="majorHAnsi" w:cstheme="majorHAnsi"/>
                <w:noProof w:val="0"/>
                <w:sz w:val="20"/>
                <w:szCs w:val="20"/>
              </w:rPr>
              <w:t xml:space="preserve">Of the 4 projects whose preparation the IDB participated in, St. Vincent is moving towards closure, Grenada has its ESIA and other preparation processes delayed, and </w:t>
            </w:r>
            <w:r w:rsidR="00DC4CBA">
              <w:rPr>
                <w:rFonts w:asciiTheme="majorHAnsi" w:hAnsiTheme="majorHAnsi" w:cstheme="majorHAnsi"/>
                <w:noProof w:val="0"/>
                <w:sz w:val="20"/>
                <w:szCs w:val="20"/>
              </w:rPr>
              <w:t>for</w:t>
            </w:r>
            <w:r>
              <w:rPr>
                <w:rFonts w:asciiTheme="majorHAnsi" w:hAnsiTheme="majorHAnsi" w:cstheme="majorHAnsi"/>
                <w:noProof w:val="0"/>
                <w:sz w:val="20"/>
                <w:szCs w:val="20"/>
              </w:rPr>
              <w:t xml:space="preserve"> Nevis and Dominica</w:t>
            </w:r>
            <w:r w:rsidR="00DC4CBA">
              <w:rPr>
                <w:rFonts w:asciiTheme="majorHAnsi" w:hAnsiTheme="majorHAnsi" w:cstheme="majorHAnsi"/>
                <w:noProof w:val="0"/>
                <w:sz w:val="20"/>
                <w:szCs w:val="20"/>
              </w:rPr>
              <w:t xml:space="preserve">, IDB is supporting CDB with resources for the </w:t>
            </w:r>
            <w:r>
              <w:rPr>
                <w:rFonts w:asciiTheme="majorHAnsi" w:hAnsiTheme="majorHAnsi" w:cstheme="majorHAnsi"/>
                <w:noProof w:val="0"/>
                <w:sz w:val="20"/>
                <w:szCs w:val="20"/>
              </w:rPr>
              <w:t>prepar</w:t>
            </w:r>
            <w:r w:rsidR="00DC4CBA">
              <w:rPr>
                <w:rFonts w:asciiTheme="majorHAnsi" w:hAnsiTheme="majorHAnsi" w:cstheme="majorHAnsi"/>
                <w:noProof w:val="0"/>
                <w:sz w:val="20"/>
                <w:szCs w:val="20"/>
              </w:rPr>
              <w:t>ation of</w:t>
            </w:r>
            <w:r>
              <w:rPr>
                <w:rFonts w:asciiTheme="majorHAnsi" w:hAnsiTheme="majorHAnsi" w:cstheme="majorHAnsi"/>
                <w:noProof w:val="0"/>
                <w:sz w:val="20"/>
                <w:szCs w:val="20"/>
              </w:rPr>
              <w:t xml:space="preserve"> a supplemental ESIA</w:t>
            </w:r>
            <w:r w:rsidR="00DC4CBA">
              <w:rPr>
                <w:rFonts w:asciiTheme="majorHAnsi" w:hAnsiTheme="majorHAnsi" w:cstheme="majorHAnsi"/>
                <w:noProof w:val="0"/>
                <w:sz w:val="20"/>
                <w:szCs w:val="20"/>
              </w:rPr>
              <w:t xml:space="preserve"> (for Nevis) and an </w:t>
            </w:r>
            <w:r>
              <w:rPr>
                <w:rFonts w:asciiTheme="majorHAnsi" w:hAnsiTheme="majorHAnsi" w:cstheme="majorHAnsi"/>
                <w:noProof w:val="0"/>
                <w:sz w:val="20"/>
                <w:szCs w:val="20"/>
              </w:rPr>
              <w:t xml:space="preserve">addendum to the ESIA </w:t>
            </w:r>
            <w:r w:rsidR="00DC4CBA">
              <w:rPr>
                <w:rFonts w:asciiTheme="majorHAnsi" w:hAnsiTheme="majorHAnsi" w:cstheme="majorHAnsi"/>
                <w:noProof w:val="0"/>
                <w:sz w:val="20"/>
                <w:szCs w:val="20"/>
              </w:rPr>
              <w:t>(for Dominica)</w:t>
            </w:r>
            <w:r>
              <w:rPr>
                <w:rFonts w:asciiTheme="majorHAnsi" w:hAnsiTheme="majorHAnsi" w:cstheme="majorHAnsi"/>
                <w:noProof w:val="0"/>
                <w:sz w:val="20"/>
                <w:szCs w:val="20"/>
              </w:rPr>
              <w:t>.</w:t>
            </w:r>
          </w:p>
          <w:p w14:paraId="76BCE218" w14:textId="2B1EDE68" w:rsidR="00DB6FF9" w:rsidRDefault="0030415D" w:rsidP="00074CC4">
            <w:pPr>
              <w:spacing w:before="120" w:after="120"/>
              <w:rPr>
                <w:rFonts w:asciiTheme="majorHAnsi" w:hAnsiTheme="majorHAnsi" w:cstheme="majorHAnsi"/>
                <w:noProof w:val="0"/>
                <w:sz w:val="20"/>
                <w:szCs w:val="20"/>
              </w:rPr>
            </w:pPr>
            <w:r w:rsidRPr="004E517D">
              <w:rPr>
                <w:rFonts w:asciiTheme="majorHAnsi" w:hAnsiTheme="majorHAnsi" w:cstheme="majorHAnsi"/>
                <w:b/>
                <w:bCs/>
                <w:noProof w:val="0"/>
                <w:sz w:val="20"/>
                <w:szCs w:val="20"/>
              </w:rPr>
              <w:t>St Vincent:</w:t>
            </w:r>
            <w:r w:rsidRPr="004E517D">
              <w:rPr>
                <w:rFonts w:asciiTheme="majorHAnsi" w:hAnsiTheme="majorHAnsi" w:cstheme="majorHAnsi"/>
                <w:noProof w:val="0"/>
                <w:sz w:val="20"/>
                <w:szCs w:val="20"/>
              </w:rPr>
              <w:t xml:space="preserve"> </w:t>
            </w:r>
            <w:r w:rsidR="00DB6FF9" w:rsidRPr="00B23A83">
              <w:rPr>
                <w:rFonts w:asciiTheme="majorHAnsi" w:hAnsiTheme="majorHAnsi" w:cstheme="majorHAnsi"/>
                <w:noProof w:val="0"/>
                <w:sz w:val="20"/>
                <w:szCs w:val="20"/>
              </w:rPr>
              <w:t>Construction</w:t>
            </w:r>
            <w:r w:rsidR="00846AEC" w:rsidRPr="00B23A83">
              <w:rPr>
                <w:rFonts w:asciiTheme="majorHAnsi" w:hAnsiTheme="majorHAnsi" w:cstheme="majorHAnsi"/>
                <w:noProof w:val="0"/>
                <w:sz w:val="20"/>
                <w:szCs w:val="20"/>
              </w:rPr>
              <w:t xml:space="preserve"> for the exploration phase</w:t>
            </w:r>
            <w:r w:rsidR="00DB6FF9" w:rsidRPr="00B23A83">
              <w:rPr>
                <w:rFonts w:asciiTheme="majorHAnsi" w:hAnsiTheme="majorHAnsi" w:cstheme="majorHAnsi"/>
                <w:noProof w:val="0"/>
                <w:sz w:val="20"/>
                <w:szCs w:val="20"/>
              </w:rPr>
              <w:t xml:space="preserve"> completed earlier in 2019, and test drilling began on the first well in May 2019.</w:t>
            </w:r>
            <w:r w:rsidR="00056774" w:rsidRPr="00B23A83">
              <w:rPr>
                <w:rFonts w:asciiTheme="majorHAnsi" w:hAnsiTheme="majorHAnsi" w:cstheme="majorHAnsi"/>
                <w:noProof w:val="0"/>
                <w:sz w:val="20"/>
                <w:szCs w:val="20"/>
              </w:rPr>
              <w:t xml:space="preserve"> Th</w:t>
            </w:r>
            <w:r w:rsidR="00056774">
              <w:rPr>
                <w:rFonts w:asciiTheme="majorHAnsi" w:hAnsiTheme="majorHAnsi" w:cstheme="majorHAnsi"/>
                <w:noProof w:val="0"/>
                <w:sz w:val="20"/>
                <w:szCs w:val="20"/>
              </w:rPr>
              <w:t>e geothermal resources encountered were not considered sufficient for exploitation.</w:t>
            </w:r>
          </w:p>
          <w:p w14:paraId="465AB377" w14:textId="19190157" w:rsidR="00DC4CBA" w:rsidRDefault="00C17466" w:rsidP="00074CC4">
            <w:pPr>
              <w:spacing w:before="120" w:after="120"/>
              <w:rPr>
                <w:rFonts w:asciiTheme="majorHAnsi" w:hAnsiTheme="majorHAnsi" w:cstheme="majorHAnsi"/>
                <w:noProof w:val="0"/>
                <w:sz w:val="20"/>
                <w:szCs w:val="20"/>
              </w:rPr>
            </w:pPr>
            <w:r>
              <w:rPr>
                <w:rFonts w:asciiTheme="majorHAnsi" w:hAnsiTheme="majorHAnsi" w:cstheme="majorHAnsi"/>
                <w:noProof w:val="0"/>
                <w:sz w:val="20"/>
                <w:szCs w:val="20"/>
              </w:rPr>
              <w:t xml:space="preserve">Several issues were outstanding from the previous supervision mission. </w:t>
            </w:r>
            <w:r w:rsidR="00074387">
              <w:rPr>
                <w:rFonts w:asciiTheme="majorHAnsi" w:hAnsiTheme="majorHAnsi" w:cstheme="majorHAnsi"/>
                <w:noProof w:val="0"/>
                <w:sz w:val="20"/>
                <w:szCs w:val="20"/>
              </w:rPr>
              <w:t>Those issues were discussed at length during the meeting of April 17</w:t>
            </w:r>
            <w:r w:rsidR="00074387" w:rsidRPr="00B20D75">
              <w:rPr>
                <w:rFonts w:asciiTheme="majorHAnsi" w:hAnsiTheme="majorHAnsi" w:cstheme="majorHAnsi"/>
                <w:noProof w:val="0"/>
                <w:sz w:val="20"/>
                <w:szCs w:val="20"/>
                <w:vertAlign w:val="superscript"/>
              </w:rPr>
              <w:t>th</w:t>
            </w:r>
            <w:r w:rsidR="00074387">
              <w:rPr>
                <w:rFonts w:asciiTheme="majorHAnsi" w:hAnsiTheme="majorHAnsi" w:cstheme="majorHAnsi"/>
                <w:noProof w:val="0"/>
                <w:sz w:val="20"/>
                <w:szCs w:val="20"/>
              </w:rPr>
              <w:t>, 2020. SVGCL has implemented corrective actions to address all issues identified, maintaining the CDB and the IDB appraised throughout the process through periodical “Memos on non</w:t>
            </w:r>
            <w:r w:rsidR="00DC4CBA">
              <w:rPr>
                <w:rFonts w:asciiTheme="majorHAnsi" w:hAnsiTheme="majorHAnsi" w:cstheme="majorHAnsi"/>
                <w:noProof w:val="0"/>
                <w:sz w:val="20"/>
                <w:szCs w:val="20"/>
              </w:rPr>
              <w:t>-</w:t>
            </w:r>
            <w:r w:rsidR="00074387">
              <w:rPr>
                <w:rFonts w:asciiTheme="majorHAnsi" w:hAnsiTheme="majorHAnsi" w:cstheme="majorHAnsi"/>
                <w:noProof w:val="0"/>
                <w:sz w:val="20"/>
                <w:szCs w:val="20"/>
              </w:rPr>
              <w:t xml:space="preserve">compliances”, clearly identifying </w:t>
            </w:r>
            <w:r w:rsidR="00846AEC">
              <w:rPr>
                <w:rFonts w:asciiTheme="majorHAnsi" w:hAnsiTheme="majorHAnsi" w:cstheme="majorHAnsi"/>
                <w:noProof w:val="0"/>
                <w:sz w:val="20"/>
                <w:szCs w:val="20"/>
              </w:rPr>
              <w:t>actions</w:t>
            </w:r>
            <w:r w:rsidR="00074387">
              <w:rPr>
                <w:rFonts w:asciiTheme="majorHAnsi" w:hAnsiTheme="majorHAnsi" w:cstheme="majorHAnsi"/>
                <w:noProof w:val="0"/>
                <w:sz w:val="20"/>
                <w:szCs w:val="20"/>
              </w:rPr>
              <w:t xml:space="preserve"> in progress versus those which had been completed. </w:t>
            </w:r>
            <w:r w:rsidR="00DC4CBA">
              <w:rPr>
                <w:rFonts w:asciiTheme="majorHAnsi" w:hAnsiTheme="majorHAnsi" w:cstheme="majorHAnsi"/>
                <w:noProof w:val="0"/>
                <w:sz w:val="20"/>
                <w:szCs w:val="20"/>
              </w:rPr>
              <w:t>In particular,</w:t>
            </w:r>
            <w:r w:rsidR="00074387">
              <w:rPr>
                <w:rFonts w:asciiTheme="majorHAnsi" w:hAnsiTheme="majorHAnsi" w:cstheme="majorHAnsi"/>
                <w:noProof w:val="0"/>
                <w:sz w:val="20"/>
                <w:szCs w:val="20"/>
              </w:rPr>
              <w:t xml:space="preserve"> the water quality analysis and the resolution of grievances in the land acquisition and compensation process. The delay in starting the water quality analysis was partially a result of the Covid-19 Pandemic, as government-run laboratories activities</w:t>
            </w:r>
            <w:r w:rsidR="00DC4CBA">
              <w:rPr>
                <w:rFonts w:asciiTheme="majorHAnsi" w:hAnsiTheme="majorHAnsi" w:cstheme="majorHAnsi"/>
                <w:noProof w:val="0"/>
                <w:sz w:val="20"/>
                <w:szCs w:val="20"/>
              </w:rPr>
              <w:t xml:space="preserve"> have closed</w:t>
            </w:r>
            <w:r w:rsidR="00074387">
              <w:rPr>
                <w:rFonts w:asciiTheme="majorHAnsi" w:hAnsiTheme="majorHAnsi" w:cstheme="majorHAnsi"/>
                <w:noProof w:val="0"/>
                <w:sz w:val="20"/>
                <w:szCs w:val="20"/>
              </w:rPr>
              <w:t xml:space="preserve">. </w:t>
            </w:r>
            <w:r w:rsidR="00613A4F">
              <w:rPr>
                <w:rFonts w:asciiTheme="majorHAnsi" w:hAnsiTheme="majorHAnsi" w:cstheme="majorHAnsi"/>
                <w:noProof w:val="0"/>
                <w:sz w:val="20"/>
                <w:szCs w:val="20"/>
              </w:rPr>
              <w:t>Following several requests from the IDB, SVGCL collect</w:t>
            </w:r>
            <w:r w:rsidR="00DC4CBA">
              <w:rPr>
                <w:rFonts w:asciiTheme="majorHAnsi" w:hAnsiTheme="majorHAnsi" w:cstheme="majorHAnsi"/>
                <w:noProof w:val="0"/>
                <w:sz w:val="20"/>
                <w:szCs w:val="20"/>
              </w:rPr>
              <w:t>ed</w:t>
            </w:r>
            <w:r w:rsidR="00613A4F">
              <w:rPr>
                <w:rFonts w:asciiTheme="majorHAnsi" w:hAnsiTheme="majorHAnsi" w:cstheme="majorHAnsi"/>
                <w:noProof w:val="0"/>
                <w:sz w:val="20"/>
                <w:szCs w:val="20"/>
              </w:rPr>
              <w:t xml:space="preserve"> the samples and </w:t>
            </w:r>
            <w:r w:rsidR="00DC4CBA">
              <w:rPr>
                <w:rFonts w:asciiTheme="majorHAnsi" w:hAnsiTheme="majorHAnsi" w:cstheme="majorHAnsi"/>
                <w:noProof w:val="0"/>
                <w:sz w:val="20"/>
                <w:szCs w:val="20"/>
              </w:rPr>
              <w:t xml:space="preserve">sent </w:t>
            </w:r>
            <w:r w:rsidR="00613A4F">
              <w:rPr>
                <w:rFonts w:asciiTheme="majorHAnsi" w:hAnsiTheme="majorHAnsi" w:cstheme="majorHAnsi"/>
                <w:noProof w:val="0"/>
                <w:sz w:val="20"/>
                <w:szCs w:val="20"/>
              </w:rPr>
              <w:t>them to a laboratory in Iceland</w:t>
            </w:r>
            <w:r w:rsidR="00DC4CBA">
              <w:rPr>
                <w:rFonts w:asciiTheme="majorHAnsi" w:hAnsiTheme="majorHAnsi" w:cstheme="majorHAnsi"/>
                <w:noProof w:val="0"/>
                <w:sz w:val="20"/>
                <w:szCs w:val="20"/>
              </w:rPr>
              <w:t xml:space="preserve"> for processing</w:t>
            </w:r>
            <w:r w:rsidR="00613A4F">
              <w:rPr>
                <w:rFonts w:asciiTheme="majorHAnsi" w:hAnsiTheme="majorHAnsi" w:cstheme="majorHAnsi"/>
                <w:noProof w:val="0"/>
                <w:sz w:val="20"/>
                <w:szCs w:val="20"/>
              </w:rPr>
              <w:t xml:space="preserve">. </w:t>
            </w:r>
          </w:p>
          <w:p w14:paraId="4CD5566C" w14:textId="39A2D2D5" w:rsidR="00AC171B" w:rsidRDefault="00613A4F" w:rsidP="00074CC4">
            <w:pPr>
              <w:spacing w:before="120" w:after="120"/>
              <w:rPr>
                <w:rFonts w:asciiTheme="majorHAnsi" w:hAnsiTheme="majorHAnsi" w:cstheme="majorHAnsi"/>
                <w:noProof w:val="0"/>
                <w:sz w:val="20"/>
                <w:szCs w:val="20"/>
              </w:rPr>
            </w:pPr>
            <w:r>
              <w:rPr>
                <w:rFonts w:asciiTheme="majorHAnsi" w:hAnsiTheme="majorHAnsi" w:cstheme="majorHAnsi"/>
                <w:noProof w:val="0"/>
                <w:sz w:val="20"/>
                <w:szCs w:val="20"/>
              </w:rPr>
              <w:t xml:space="preserve">In the case of resettlement, </w:t>
            </w:r>
            <w:r w:rsidR="00EE2BE4">
              <w:rPr>
                <w:rFonts w:asciiTheme="majorHAnsi" w:hAnsiTheme="majorHAnsi" w:cstheme="majorHAnsi"/>
                <w:noProof w:val="0"/>
                <w:sz w:val="20"/>
                <w:szCs w:val="20"/>
              </w:rPr>
              <w:t>there were</w:t>
            </w:r>
            <w:r w:rsidR="00C7459E">
              <w:rPr>
                <w:rFonts w:asciiTheme="majorHAnsi" w:hAnsiTheme="majorHAnsi" w:cstheme="majorHAnsi"/>
                <w:noProof w:val="0"/>
                <w:sz w:val="20"/>
                <w:szCs w:val="20"/>
              </w:rPr>
              <w:t xml:space="preserve"> government delay</w:t>
            </w:r>
            <w:r w:rsidR="00EE2BE4">
              <w:rPr>
                <w:rFonts w:asciiTheme="majorHAnsi" w:hAnsiTheme="majorHAnsi" w:cstheme="majorHAnsi"/>
                <w:noProof w:val="0"/>
                <w:sz w:val="20"/>
                <w:szCs w:val="20"/>
              </w:rPr>
              <w:t>s</w:t>
            </w:r>
            <w:r w:rsidR="00C7459E">
              <w:rPr>
                <w:rFonts w:asciiTheme="majorHAnsi" w:hAnsiTheme="majorHAnsi" w:cstheme="majorHAnsi"/>
                <w:noProof w:val="0"/>
                <w:sz w:val="20"/>
                <w:szCs w:val="20"/>
              </w:rPr>
              <w:t xml:space="preserve"> in finally providing the necessary land </w:t>
            </w:r>
            <w:r w:rsidR="00C00D32">
              <w:rPr>
                <w:rFonts w:asciiTheme="majorHAnsi" w:hAnsiTheme="majorHAnsi" w:cstheme="majorHAnsi"/>
                <w:noProof w:val="0"/>
                <w:sz w:val="20"/>
                <w:szCs w:val="20"/>
              </w:rPr>
              <w:t xml:space="preserve">lease </w:t>
            </w:r>
            <w:r w:rsidR="00C7459E">
              <w:rPr>
                <w:rFonts w:asciiTheme="majorHAnsi" w:hAnsiTheme="majorHAnsi" w:cstheme="majorHAnsi"/>
                <w:noProof w:val="0"/>
                <w:sz w:val="20"/>
                <w:szCs w:val="20"/>
              </w:rPr>
              <w:t>documents</w:t>
            </w:r>
            <w:r w:rsidR="00C00D32">
              <w:rPr>
                <w:rFonts w:asciiTheme="majorHAnsi" w:hAnsiTheme="majorHAnsi" w:cstheme="majorHAnsi"/>
                <w:noProof w:val="0"/>
                <w:sz w:val="20"/>
                <w:szCs w:val="20"/>
              </w:rPr>
              <w:t xml:space="preserve"> (resolved, see ME report Q2 2020’s annex for documentation)</w:t>
            </w:r>
            <w:r w:rsidR="00EE2BE4">
              <w:rPr>
                <w:rFonts w:asciiTheme="majorHAnsi" w:hAnsiTheme="majorHAnsi" w:cstheme="majorHAnsi"/>
                <w:noProof w:val="0"/>
                <w:sz w:val="20"/>
                <w:szCs w:val="20"/>
              </w:rPr>
              <w:t>. T</w:t>
            </w:r>
            <w:r w:rsidR="00C7459E">
              <w:rPr>
                <w:rFonts w:asciiTheme="majorHAnsi" w:hAnsiTheme="majorHAnsi" w:cstheme="majorHAnsi"/>
                <w:noProof w:val="0"/>
                <w:sz w:val="20"/>
                <w:szCs w:val="20"/>
              </w:rPr>
              <w:t xml:space="preserve">here were two </w:t>
            </w:r>
            <w:r w:rsidR="00EE2BE4">
              <w:rPr>
                <w:rFonts w:asciiTheme="majorHAnsi" w:hAnsiTheme="majorHAnsi" w:cstheme="majorHAnsi"/>
                <w:noProof w:val="0"/>
                <w:sz w:val="20"/>
                <w:szCs w:val="20"/>
              </w:rPr>
              <w:t>close</w:t>
            </w:r>
            <w:r w:rsidR="00AC171B">
              <w:rPr>
                <w:rFonts w:asciiTheme="majorHAnsi" w:hAnsiTheme="majorHAnsi" w:cstheme="majorHAnsi"/>
                <w:noProof w:val="0"/>
                <w:sz w:val="20"/>
                <w:szCs w:val="20"/>
              </w:rPr>
              <w:t>d</w:t>
            </w:r>
            <w:r w:rsidR="00EE2BE4">
              <w:rPr>
                <w:rFonts w:asciiTheme="majorHAnsi" w:hAnsiTheme="majorHAnsi" w:cstheme="majorHAnsi"/>
                <w:noProof w:val="0"/>
                <w:sz w:val="20"/>
                <w:szCs w:val="20"/>
              </w:rPr>
              <w:t xml:space="preserve"> </w:t>
            </w:r>
            <w:r w:rsidR="00C7459E">
              <w:rPr>
                <w:rFonts w:asciiTheme="majorHAnsi" w:hAnsiTheme="majorHAnsi" w:cstheme="majorHAnsi"/>
                <w:noProof w:val="0"/>
                <w:sz w:val="20"/>
                <w:szCs w:val="20"/>
              </w:rPr>
              <w:t xml:space="preserve">grievances </w:t>
            </w:r>
            <w:r w:rsidR="00EE2BE4">
              <w:rPr>
                <w:rFonts w:asciiTheme="majorHAnsi" w:hAnsiTheme="majorHAnsi" w:cstheme="majorHAnsi"/>
                <w:noProof w:val="0"/>
                <w:sz w:val="20"/>
                <w:szCs w:val="20"/>
              </w:rPr>
              <w:t xml:space="preserve">cases, where </w:t>
            </w:r>
            <w:r w:rsidR="00C7459E">
              <w:rPr>
                <w:rFonts w:asciiTheme="majorHAnsi" w:hAnsiTheme="majorHAnsi" w:cstheme="majorHAnsi"/>
                <w:noProof w:val="0"/>
                <w:sz w:val="20"/>
                <w:szCs w:val="20"/>
              </w:rPr>
              <w:t xml:space="preserve">the </w:t>
            </w:r>
            <w:r w:rsidR="00DA3694">
              <w:rPr>
                <w:rFonts w:asciiTheme="majorHAnsi" w:hAnsiTheme="majorHAnsi" w:cstheme="majorHAnsi"/>
                <w:noProof w:val="0"/>
                <w:sz w:val="20"/>
                <w:szCs w:val="20"/>
              </w:rPr>
              <w:t xml:space="preserve">complainant </w:t>
            </w:r>
            <w:r w:rsidR="00C7459E">
              <w:rPr>
                <w:rFonts w:asciiTheme="majorHAnsi" w:hAnsiTheme="majorHAnsi" w:cstheme="majorHAnsi"/>
                <w:noProof w:val="0"/>
                <w:sz w:val="20"/>
                <w:szCs w:val="20"/>
              </w:rPr>
              <w:t>was not satisfied</w:t>
            </w:r>
            <w:r w:rsidR="00EE2BE4">
              <w:rPr>
                <w:rFonts w:asciiTheme="majorHAnsi" w:hAnsiTheme="majorHAnsi" w:cstheme="majorHAnsi"/>
                <w:noProof w:val="0"/>
                <w:sz w:val="20"/>
                <w:szCs w:val="20"/>
              </w:rPr>
              <w:t xml:space="preserve"> with the resolution</w:t>
            </w:r>
            <w:r w:rsidR="00C7459E">
              <w:rPr>
                <w:rFonts w:asciiTheme="majorHAnsi" w:hAnsiTheme="majorHAnsi" w:cstheme="majorHAnsi"/>
                <w:noProof w:val="0"/>
                <w:sz w:val="20"/>
                <w:szCs w:val="20"/>
              </w:rPr>
              <w:t xml:space="preserve">. Upon detailed follow up of the issues, the IDB identified that the root of the issue </w:t>
            </w:r>
            <w:r w:rsidR="00EE2BE4">
              <w:rPr>
                <w:rFonts w:asciiTheme="majorHAnsi" w:hAnsiTheme="majorHAnsi" w:cstheme="majorHAnsi"/>
                <w:noProof w:val="0"/>
                <w:sz w:val="20"/>
                <w:szCs w:val="20"/>
              </w:rPr>
              <w:t>was</w:t>
            </w:r>
            <w:r w:rsidR="00C7459E">
              <w:rPr>
                <w:rFonts w:asciiTheme="majorHAnsi" w:hAnsiTheme="majorHAnsi" w:cstheme="majorHAnsi"/>
                <w:noProof w:val="0"/>
                <w:sz w:val="20"/>
                <w:szCs w:val="20"/>
              </w:rPr>
              <w:t xml:space="preserve"> the fact that the grievant had not been present during the counting of crop trees that were affected. The affectation claimed by the affected persons was different from that which was recognized by the project. Since it ha</w:t>
            </w:r>
            <w:r w:rsidR="00846AEC">
              <w:rPr>
                <w:rFonts w:asciiTheme="majorHAnsi" w:hAnsiTheme="majorHAnsi" w:cstheme="majorHAnsi"/>
                <w:noProof w:val="0"/>
                <w:sz w:val="20"/>
                <w:szCs w:val="20"/>
              </w:rPr>
              <w:t>d</w:t>
            </w:r>
            <w:r w:rsidR="00C7459E">
              <w:rPr>
                <w:rFonts w:asciiTheme="majorHAnsi" w:hAnsiTheme="majorHAnsi" w:cstheme="majorHAnsi"/>
                <w:noProof w:val="0"/>
                <w:sz w:val="20"/>
                <w:szCs w:val="20"/>
              </w:rPr>
              <w:t xml:space="preserve"> been a failure in properly implementing the RAP</w:t>
            </w:r>
            <w:r w:rsidR="00846AEC">
              <w:rPr>
                <w:rFonts w:asciiTheme="majorHAnsi" w:hAnsiTheme="majorHAnsi" w:cstheme="majorHAnsi"/>
                <w:noProof w:val="0"/>
                <w:sz w:val="20"/>
                <w:szCs w:val="20"/>
              </w:rPr>
              <w:t xml:space="preserve"> valuation </w:t>
            </w:r>
            <w:r w:rsidR="00C7459E">
              <w:rPr>
                <w:rFonts w:asciiTheme="majorHAnsi" w:hAnsiTheme="majorHAnsi" w:cstheme="majorHAnsi"/>
                <w:noProof w:val="0"/>
                <w:sz w:val="20"/>
                <w:szCs w:val="20"/>
              </w:rPr>
              <w:t xml:space="preserve">procedures, SVGCL took responsibility and provided additional compensation to the grievant parties, based on the claims in their initial grievance, and documented their satisfactory resolution. </w:t>
            </w:r>
          </w:p>
          <w:p w14:paraId="14236D87" w14:textId="59781E0E" w:rsidR="006446DC" w:rsidRPr="004E517D" w:rsidRDefault="00846AEC" w:rsidP="00074CC4">
            <w:pPr>
              <w:spacing w:before="120" w:after="120"/>
              <w:rPr>
                <w:rFonts w:asciiTheme="majorHAnsi" w:hAnsiTheme="majorHAnsi" w:cstheme="majorHAnsi"/>
                <w:noProof w:val="0"/>
                <w:sz w:val="20"/>
                <w:szCs w:val="20"/>
              </w:rPr>
            </w:pPr>
            <w:r>
              <w:rPr>
                <w:rFonts w:asciiTheme="majorHAnsi" w:hAnsiTheme="majorHAnsi" w:cstheme="majorHAnsi"/>
                <w:noProof w:val="0"/>
                <w:sz w:val="20"/>
                <w:szCs w:val="20"/>
              </w:rPr>
              <w:lastRenderedPageBreak/>
              <w:t>S</w:t>
            </w:r>
            <w:r w:rsidR="00C7459E">
              <w:rPr>
                <w:rFonts w:asciiTheme="majorHAnsi" w:hAnsiTheme="majorHAnsi" w:cstheme="majorHAnsi"/>
                <w:noProof w:val="0"/>
                <w:sz w:val="20"/>
                <w:szCs w:val="20"/>
              </w:rPr>
              <w:t>VGCL request</w:t>
            </w:r>
            <w:r w:rsidR="00EE2BE4">
              <w:rPr>
                <w:rFonts w:asciiTheme="majorHAnsi" w:hAnsiTheme="majorHAnsi" w:cstheme="majorHAnsi"/>
                <w:noProof w:val="0"/>
                <w:sz w:val="20"/>
                <w:szCs w:val="20"/>
              </w:rPr>
              <w:t>ed</w:t>
            </w:r>
            <w:r w:rsidR="00C7459E">
              <w:rPr>
                <w:rFonts w:asciiTheme="majorHAnsi" w:hAnsiTheme="majorHAnsi" w:cstheme="majorHAnsi"/>
                <w:noProof w:val="0"/>
                <w:sz w:val="20"/>
                <w:szCs w:val="20"/>
              </w:rPr>
              <w:t xml:space="preserve"> </w:t>
            </w:r>
            <w:r>
              <w:rPr>
                <w:rFonts w:asciiTheme="majorHAnsi" w:hAnsiTheme="majorHAnsi" w:cstheme="majorHAnsi"/>
                <w:noProof w:val="0"/>
                <w:sz w:val="20"/>
                <w:szCs w:val="20"/>
              </w:rPr>
              <w:t xml:space="preserve">an </w:t>
            </w:r>
            <w:r w:rsidR="00C7459E">
              <w:rPr>
                <w:rFonts w:asciiTheme="majorHAnsi" w:hAnsiTheme="majorHAnsi" w:cstheme="majorHAnsi"/>
                <w:noProof w:val="0"/>
                <w:sz w:val="20"/>
                <w:szCs w:val="20"/>
              </w:rPr>
              <w:t xml:space="preserve">additional retrospective </w:t>
            </w:r>
            <w:r w:rsidR="00DB6FF9">
              <w:rPr>
                <w:rFonts w:asciiTheme="majorHAnsi" w:hAnsiTheme="majorHAnsi" w:cstheme="majorHAnsi"/>
                <w:noProof w:val="0"/>
                <w:sz w:val="20"/>
                <w:szCs w:val="20"/>
              </w:rPr>
              <w:t>grant</w:t>
            </w:r>
            <w:r w:rsidR="00C7459E">
              <w:rPr>
                <w:rFonts w:asciiTheme="majorHAnsi" w:hAnsiTheme="majorHAnsi" w:cstheme="majorHAnsi"/>
                <w:noProof w:val="0"/>
                <w:sz w:val="20"/>
                <w:szCs w:val="20"/>
              </w:rPr>
              <w:t xml:space="preserve"> from the CDB to cover costs </w:t>
            </w:r>
            <w:r w:rsidR="00DB6FF9">
              <w:rPr>
                <w:rFonts w:asciiTheme="majorHAnsi" w:hAnsiTheme="majorHAnsi" w:cstheme="majorHAnsi"/>
                <w:noProof w:val="0"/>
                <w:sz w:val="20"/>
                <w:szCs w:val="20"/>
              </w:rPr>
              <w:t xml:space="preserve">already </w:t>
            </w:r>
            <w:r w:rsidR="00C7459E">
              <w:rPr>
                <w:rFonts w:asciiTheme="majorHAnsi" w:hAnsiTheme="majorHAnsi" w:cstheme="majorHAnsi"/>
                <w:noProof w:val="0"/>
                <w:sz w:val="20"/>
                <w:szCs w:val="20"/>
              </w:rPr>
              <w:t>incurred in the resource exploration process. It was in the context of SVGCL seeking CDB and IDB’s non-objection</w:t>
            </w:r>
            <w:r w:rsidR="00EE2BE4">
              <w:rPr>
                <w:rFonts w:asciiTheme="majorHAnsi" w:hAnsiTheme="majorHAnsi" w:cstheme="majorHAnsi"/>
                <w:noProof w:val="0"/>
                <w:sz w:val="20"/>
                <w:szCs w:val="20"/>
              </w:rPr>
              <w:t xml:space="preserve"> to the additional resources,</w:t>
            </w:r>
            <w:r w:rsidR="00C7459E">
              <w:rPr>
                <w:rFonts w:asciiTheme="majorHAnsi" w:hAnsiTheme="majorHAnsi" w:cstheme="majorHAnsi"/>
                <w:noProof w:val="0"/>
                <w:sz w:val="20"/>
                <w:szCs w:val="20"/>
              </w:rPr>
              <w:t xml:space="preserve"> that the outstanding E&amp;S </w:t>
            </w:r>
            <w:r>
              <w:rPr>
                <w:rFonts w:asciiTheme="majorHAnsi" w:hAnsiTheme="majorHAnsi" w:cstheme="majorHAnsi"/>
                <w:noProof w:val="0"/>
                <w:sz w:val="20"/>
                <w:szCs w:val="20"/>
              </w:rPr>
              <w:t xml:space="preserve">matters </w:t>
            </w:r>
            <w:r w:rsidR="00C7459E">
              <w:rPr>
                <w:rFonts w:asciiTheme="majorHAnsi" w:hAnsiTheme="majorHAnsi" w:cstheme="majorHAnsi"/>
                <w:noProof w:val="0"/>
                <w:sz w:val="20"/>
                <w:szCs w:val="20"/>
              </w:rPr>
              <w:t>were addressed.</w:t>
            </w:r>
            <w:r w:rsidR="00DB6FF9">
              <w:t xml:space="preserve"> </w:t>
            </w:r>
            <w:r w:rsidR="00DB6FF9" w:rsidRPr="00DB6FF9">
              <w:rPr>
                <w:rFonts w:asciiTheme="majorHAnsi" w:hAnsiTheme="majorHAnsi" w:cstheme="majorHAnsi"/>
                <w:noProof w:val="0"/>
                <w:sz w:val="20"/>
                <w:szCs w:val="20"/>
              </w:rPr>
              <w:t>There are no modified, expanded</w:t>
            </w:r>
            <w:r w:rsidR="005028E9">
              <w:rPr>
                <w:rFonts w:asciiTheme="majorHAnsi" w:hAnsiTheme="majorHAnsi" w:cstheme="majorHAnsi"/>
                <w:noProof w:val="0"/>
                <w:sz w:val="20"/>
                <w:szCs w:val="20"/>
              </w:rPr>
              <w:t>,</w:t>
            </w:r>
            <w:r w:rsidR="00DB6FF9" w:rsidRPr="00DB6FF9">
              <w:rPr>
                <w:rFonts w:asciiTheme="majorHAnsi" w:hAnsiTheme="majorHAnsi" w:cstheme="majorHAnsi"/>
                <w:noProof w:val="0"/>
                <w:sz w:val="20"/>
                <w:szCs w:val="20"/>
              </w:rPr>
              <w:t xml:space="preserve"> or new activities that have any safeguard implications under the proposed additional financing</w:t>
            </w:r>
            <w:r w:rsidR="00DB6FF9">
              <w:rPr>
                <w:rFonts w:asciiTheme="majorHAnsi" w:hAnsiTheme="majorHAnsi" w:cstheme="majorHAnsi"/>
                <w:noProof w:val="0"/>
                <w:sz w:val="20"/>
                <w:szCs w:val="20"/>
              </w:rPr>
              <w:t xml:space="preserve">. </w:t>
            </w:r>
            <w:r w:rsidR="00DB6FF9" w:rsidRPr="00DB6FF9">
              <w:rPr>
                <w:rFonts w:asciiTheme="majorHAnsi" w:hAnsiTheme="majorHAnsi" w:cstheme="majorHAnsi"/>
                <w:noProof w:val="0"/>
                <w:sz w:val="20"/>
                <w:szCs w:val="20"/>
              </w:rPr>
              <w:t>It will be a condition precedent to disbursement of the add</w:t>
            </w:r>
            <w:r w:rsidR="005028E9">
              <w:rPr>
                <w:rFonts w:asciiTheme="majorHAnsi" w:hAnsiTheme="majorHAnsi" w:cstheme="majorHAnsi"/>
                <w:noProof w:val="0"/>
                <w:sz w:val="20"/>
                <w:szCs w:val="20"/>
              </w:rPr>
              <w:t>itional</w:t>
            </w:r>
            <w:r w:rsidR="00DB6FF9" w:rsidRPr="00DB6FF9">
              <w:rPr>
                <w:rFonts w:asciiTheme="majorHAnsi" w:hAnsiTheme="majorHAnsi" w:cstheme="majorHAnsi"/>
                <w:noProof w:val="0"/>
                <w:sz w:val="20"/>
                <w:szCs w:val="20"/>
              </w:rPr>
              <w:t xml:space="preserve"> grant that SVGCL closes all pending </w:t>
            </w:r>
            <w:r w:rsidR="00AC171B">
              <w:rPr>
                <w:rFonts w:asciiTheme="majorHAnsi" w:hAnsiTheme="majorHAnsi" w:cstheme="majorHAnsi"/>
                <w:noProof w:val="0"/>
                <w:sz w:val="20"/>
                <w:szCs w:val="20"/>
              </w:rPr>
              <w:t>E&amp;S</w:t>
            </w:r>
            <w:r w:rsidR="00DB6FF9" w:rsidRPr="00DB6FF9">
              <w:rPr>
                <w:rFonts w:asciiTheme="majorHAnsi" w:hAnsiTheme="majorHAnsi" w:cstheme="majorHAnsi"/>
                <w:noProof w:val="0"/>
                <w:sz w:val="20"/>
                <w:szCs w:val="20"/>
              </w:rPr>
              <w:t xml:space="preserve"> non-compliances </w:t>
            </w:r>
            <w:r w:rsidR="00AC171B">
              <w:rPr>
                <w:rFonts w:asciiTheme="majorHAnsi" w:hAnsiTheme="majorHAnsi" w:cstheme="majorHAnsi"/>
                <w:noProof w:val="0"/>
                <w:sz w:val="20"/>
                <w:szCs w:val="20"/>
              </w:rPr>
              <w:t>with respect to</w:t>
            </w:r>
            <w:r w:rsidR="00AC171B" w:rsidRPr="00DB6FF9">
              <w:rPr>
                <w:rFonts w:asciiTheme="majorHAnsi" w:hAnsiTheme="majorHAnsi" w:cstheme="majorHAnsi"/>
                <w:noProof w:val="0"/>
                <w:sz w:val="20"/>
                <w:szCs w:val="20"/>
              </w:rPr>
              <w:t xml:space="preserve"> </w:t>
            </w:r>
            <w:r w:rsidR="00DB6FF9" w:rsidRPr="00DB6FF9">
              <w:rPr>
                <w:rFonts w:asciiTheme="majorHAnsi" w:hAnsiTheme="majorHAnsi" w:cstheme="majorHAnsi"/>
                <w:noProof w:val="0"/>
                <w:sz w:val="20"/>
                <w:szCs w:val="20"/>
              </w:rPr>
              <w:t xml:space="preserve">water quality </w:t>
            </w:r>
            <w:r w:rsidR="00AC171B" w:rsidRPr="00DB6FF9">
              <w:rPr>
                <w:rFonts w:asciiTheme="majorHAnsi" w:hAnsiTheme="majorHAnsi" w:cstheme="majorHAnsi"/>
                <w:noProof w:val="0"/>
                <w:sz w:val="20"/>
                <w:szCs w:val="20"/>
              </w:rPr>
              <w:t xml:space="preserve">monitoring </w:t>
            </w:r>
            <w:r w:rsidR="00DB6FF9" w:rsidRPr="00DB6FF9">
              <w:rPr>
                <w:rFonts w:asciiTheme="majorHAnsi" w:hAnsiTheme="majorHAnsi" w:cstheme="majorHAnsi"/>
                <w:noProof w:val="0"/>
                <w:sz w:val="20"/>
                <w:szCs w:val="20"/>
              </w:rPr>
              <w:t>and the resettlement action plan</w:t>
            </w:r>
            <w:r w:rsidR="00AC171B">
              <w:rPr>
                <w:rFonts w:asciiTheme="majorHAnsi" w:hAnsiTheme="majorHAnsi" w:cstheme="majorHAnsi"/>
                <w:noProof w:val="0"/>
                <w:sz w:val="20"/>
                <w:szCs w:val="20"/>
              </w:rPr>
              <w:t>,</w:t>
            </w:r>
            <w:r w:rsidR="00DB6FF9" w:rsidRPr="00DB6FF9">
              <w:rPr>
                <w:rFonts w:asciiTheme="majorHAnsi" w:hAnsiTheme="majorHAnsi" w:cstheme="majorHAnsi"/>
                <w:noProof w:val="0"/>
                <w:sz w:val="20"/>
                <w:szCs w:val="20"/>
              </w:rPr>
              <w:t xml:space="preserve"> in a manner acceptable to CDB</w:t>
            </w:r>
            <w:r w:rsidR="00C00D32">
              <w:rPr>
                <w:rFonts w:asciiTheme="majorHAnsi" w:hAnsiTheme="majorHAnsi" w:cstheme="majorHAnsi"/>
                <w:noProof w:val="0"/>
                <w:sz w:val="20"/>
                <w:szCs w:val="20"/>
              </w:rPr>
              <w:t xml:space="preserve"> (and IDB)</w:t>
            </w:r>
            <w:r w:rsidR="00DB6FF9" w:rsidRPr="00DB6FF9">
              <w:rPr>
                <w:rFonts w:asciiTheme="majorHAnsi" w:hAnsiTheme="majorHAnsi" w:cstheme="majorHAnsi"/>
                <w:noProof w:val="0"/>
                <w:sz w:val="20"/>
                <w:szCs w:val="20"/>
              </w:rPr>
              <w:t xml:space="preserve">.  </w:t>
            </w:r>
            <w:r w:rsidR="00DB6FF9">
              <w:rPr>
                <w:rFonts w:asciiTheme="majorHAnsi" w:hAnsiTheme="majorHAnsi" w:cstheme="majorHAnsi"/>
                <w:noProof w:val="0"/>
                <w:sz w:val="20"/>
                <w:szCs w:val="20"/>
              </w:rPr>
              <w:t>CDB has been responsive and active in the E&amp;S supervision of the St. Vincent project.</w:t>
            </w:r>
            <w:r>
              <w:rPr>
                <w:rFonts w:asciiTheme="majorHAnsi" w:hAnsiTheme="majorHAnsi" w:cstheme="majorHAnsi"/>
                <w:noProof w:val="0"/>
                <w:sz w:val="20"/>
                <w:szCs w:val="20"/>
              </w:rPr>
              <w:t xml:space="preserve"> </w:t>
            </w:r>
            <w:r w:rsidR="00056774">
              <w:rPr>
                <w:rFonts w:asciiTheme="majorHAnsi" w:hAnsiTheme="majorHAnsi" w:cstheme="majorHAnsi"/>
                <w:noProof w:val="0"/>
                <w:sz w:val="20"/>
                <w:szCs w:val="20"/>
              </w:rPr>
              <w:t xml:space="preserve">The </w:t>
            </w:r>
            <w:r w:rsidR="00056774" w:rsidRPr="00DB6FF9">
              <w:rPr>
                <w:rFonts w:asciiTheme="majorHAnsi" w:hAnsiTheme="majorHAnsi" w:cstheme="majorHAnsi"/>
                <w:noProof w:val="0"/>
                <w:sz w:val="20"/>
                <w:szCs w:val="20"/>
              </w:rPr>
              <w:t>ESHS close-out /exit plan is being worked out</w:t>
            </w:r>
            <w:r w:rsidR="00056774">
              <w:rPr>
                <w:rFonts w:asciiTheme="majorHAnsi" w:hAnsiTheme="majorHAnsi" w:cstheme="majorHAnsi"/>
                <w:noProof w:val="0"/>
                <w:sz w:val="20"/>
                <w:szCs w:val="20"/>
              </w:rPr>
              <w:t>.</w:t>
            </w:r>
          </w:p>
          <w:p w14:paraId="55BA37A9" w14:textId="400E4DC3" w:rsidR="003E5701" w:rsidRPr="004E517D" w:rsidRDefault="00465346" w:rsidP="00074CC4">
            <w:pPr>
              <w:spacing w:before="120" w:after="120"/>
              <w:rPr>
                <w:rFonts w:asciiTheme="majorHAnsi" w:hAnsiTheme="majorHAnsi" w:cstheme="majorHAnsi"/>
                <w:noProof w:val="0"/>
                <w:sz w:val="20"/>
                <w:szCs w:val="20"/>
              </w:rPr>
            </w:pPr>
            <w:r w:rsidRPr="004E517D">
              <w:rPr>
                <w:rFonts w:asciiTheme="majorHAnsi" w:hAnsiTheme="majorHAnsi" w:cstheme="majorHAnsi"/>
                <w:b/>
                <w:bCs/>
                <w:noProof w:val="0"/>
                <w:sz w:val="20"/>
                <w:szCs w:val="20"/>
              </w:rPr>
              <w:t>Nevis:</w:t>
            </w:r>
            <w:r w:rsidRPr="004E517D">
              <w:rPr>
                <w:rFonts w:asciiTheme="majorHAnsi" w:hAnsiTheme="majorHAnsi" w:cstheme="majorHAnsi"/>
                <w:noProof w:val="0"/>
                <w:sz w:val="20"/>
                <w:szCs w:val="20"/>
              </w:rPr>
              <w:t xml:space="preserve"> The Nevis project is in a planning stage, and no physical supervision has taken place. However, ESG </w:t>
            </w:r>
            <w:r w:rsidR="00DC4B00">
              <w:rPr>
                <w:rFonts w:asciiTheme="majorHAnsi" w:hAnsiTheme="majorHAnsi" w:cstheme="majorHAnsi"/>
                <w:noProof w:val="0"/>
                <w:sz w:val="20"/>
                <w:szCs w:val="20"/>
              </w:rPr>
              <w:t xml:space="preserve">and the CDB are managing a contract with ERM, who </w:t>
            </w:r>
            <w:r w:rsidR="00B20D75">
              <w:rPr>
                <w:rFonts w:asciiTheme="majorHAnsi" w:hAnsiTheme="majorHAnsi" w:cstheme="majorHAnsi"/>
                <w:noProof w:val="0"/>
                <w:sz w:val="20"/>
                <w:szCs w:val="20"/>
              </w:rPr>
              <w:t xml:space="preserve">through a Supplemental ESIA </w:t>
            </w:r>
            <w:r w:rsidR="00DC4B00">
              <w:rPr>
                <w:rFonts w:asciiTheme="majorHAnsi" w:hAnsiTheme="majorHAnsi" w:cstheme="majorHAnsi"/>
                <w:noProof w:val="0"/>
                <w:sz w:val="20"/>
                <w:szCs w:val="20"/>
              </w:rPr>
              <w:t xml:space="preserve">is </w:t>
            </w:r>
            <w:r w:rsidRPr="004E517D">
              <w:rPr>
                <w:rFonts w:asciiTheme="majorHAnsi" w:hAnsiTheme="majorHAnsi" w:cstheme="majorHAnsi"/>
                <w:noProof w:val="0"/>
                <w:sz w:val="20"/>
                <w:szCs w:val="20"/>
              </w:rPr>
              <w:t>updat</w:t>
            </w:r>
            <w:r w:rsidR="00DC4B00">
              <w:rPr>
                <w:rFonts w:asciiTheme="majorHAnsi" w:hAnsiTheme="majorHAnsi" w:cstheme="majorHAnsi"/>
                <w:noProof w:val="0"/>
                <w:sz w:val="20"/>
                <w:szCs w:val="20"/>
              </w:rPr>
              <w:t>ing</w:t>
            </w:r>
            <w:r w:rsidRPr="004E517D">
              <w:rPr>
                <w:rFonts w:asciiTheme="majorHAnsi" w:hAnsiTheme="majorHAnsi" w:cstheme="majorHAnsi"/>
                <w:noProof w:val="0"/>
                <w:sz w:val="20"/>
                <w:szCs w:val="20"/>
              </w:rPr>
              <w:t xml:space="preserve"> the original ESIA (2017) which </w:t>
            </w:r>
            <w:r w:rsidR="001714FB">
              <w:rPr>
                <w:rFonts w:asciiTheme="majorHAnsi" w:hAnsiTheme="majorHAnsi" w:cstheme="majorHAnsi"/>
                <w:noProof w:val="0"/>
                <w:sz w:val="20"/>
                <w:szCs w:val="20"/>
              </w:rPr>
              <w:t>d</w:t>
            </w:r>
            <w:r w:rsidR="00DC4B00">
              <w:rPr>
                <w:rFonts w:asciiTheme="majorHAnsi" w:hAnsiTheme="majorHAnsi" w:cstheme="majorHAnsi"/>
                <w:noProof w:val="0"/>
                <w:sz w:val="20"/>
                <w:szCs w:val="20"/>
              </w:rPr>
              <w:t>id</w:t>
            </w:r>
            <w:r w:rsidR="001714FB">
              <w:rPr>
                <w:rFonts w:asciiTheme="majorHAnsi" w:hAnsiTheme="majorHAnsi" w:cstheme="majorHAnsi"/>
                <w:noProof w:val="0"/>
                <w:sz w:val="20"/>
                <w:szCs w:val="20"/>
              </w:rPr>
              <w:t xml:space="preserve"> not meet minimum IDB </w:t>
            </w:r>
            <w:r w:rsidR="00AC171B">
              <w:rPr>
                <w:rFonts w:asciiTheme="majorHAnsi" w:hAnsiTheme="majorHAnsi" w:cstheme="majorHAnsi"/>
                <w:noProof w:val="0"/>
                <w:sz w:val="20"/>
                <w:szCs w:val="20"/>
              </w:rPr>
              <w:t xml:space="preserve">E&amp;S </w:t>
            </w:r>
            <w:r w:rsidR="001714FB">
              <w:rPr>
                <w:rFonts w:asciiTheme="majorHAnsi" w:hAnsiTheme="majorHAnsi" w:cstheme="majorHAnsi"/>
                <w:noProof w:val="0"/>
                <w:sz w:val="20"/>
                <w:szCs w:val="20"/>
              </w:rPr>
              <w:t>safeguards requirement</w:t>
            </w:r>
            <w:r w:rsidR="00AC171B">
              <w:rPr>
                <w:rFonts w:asciiTheme="majorHAnsi" w:hAnsiTheme="majorHAnsi" w:cstheme="majorHAnsi"/>
                <w:noProof w:val="0"/>
                <w:sz w:val="20"/>
                <w:szCs w:val="20"/>
              </w:rPr>
              <w:t>s</w:t>
            </w:r>
            <w:r w:rsidRPr="004E517D">
              <w:rPr>
                <w:rFonts w:asciiTheme="majorHAnsi" w:hAnsiTheme="majorHAnsi" w:cstheme="majorHAnsi"/>
                <w:noProof w:val="0"/>
                <w:sz w:val="20"/>
                <w:szCs w:val="20"/>
              </w:rPr>
              <w:t xml:space="preserve">. </w:t>
            </w:r>
            <w:r w:rsidR="00DC4B00">
              <w:rPr>
                <w:rFonts w:asciiTheme="majorHAnsi" w:hAnsiTheme="majorHAnsi" w:cstheme="majorHAnsi"/>
                <w:noProof w:val="0"/>
                <w:sz w:val="20"/>
                <w:szCs w:val="20"/>
              </w:rPr>
              <w:t>Although there ha</w:t>
            </w:r>
            <w:r w:rsidR="00846AEC">
              <w:rPr>
                <w:rFonts w:asciiTheme="majorHAnsi" w:hAnsiTheme="majorHAnsi" w:cstheme="majorHAnsi"/>
                <w:noProof w:val="0"/>
                <w:sz w:val="20"/>
                <w:szCs w:val="20"/>
              </w:rPr>
              <w:t>d</w:t>
            </w:r>
            <w:r w:rsidR="00DC4B00">
              <w:rPr>
                <w:rFonts w:asciiTheme="majorHAnsi" w:hAnsiTheme="majorHAnsi" w:cstheme="majorHAnsi"/>
                <w:noProof w:val="0"/>
                <w:sz w:val="20"/>
                <w:szCs w:val="20"/>
              </w:rPr>
              <w:t xml:space="preserve"> been resistance from the part of</w:t>
            </w:r>
            <w:r w:rsidR="00AC171B">
              <w:rPr>
                <w:rFonts w:asciiTheme="majorHAnsi" w:hAnsiTheme="majorHAnsi" w:cstheme="majorHAnsi"/>
                <w:noProof w:val="0"/>
                <w:sz w:val="20"/>
                <w:szCs w:val="20"/>
              </w:rPr>
              <w:t xml:space="preserve"> </w:t>
            </w:r>
            <w:r w:rsidR="005E147D" w:rsidRPr="00602347">
              <w:rPr>
                <w:rFonts w:asciiTheme="majorHAnsi" w:hAnsiTheme="majorHAnsi" w:cstheme="majorHAnsi"/>
                <w:noProof w:val="0"/>
                <w:sz w:val="20"/>
                <w:szCs w:val="20"/>
              </w:rPr>
              <w:t xml:space="preserve">Nevis Renewable Energy International </w:t>
            </w:r>
            <w:r w:rsidR="005E147D">
              <w:rPr>
                <w:rFonts w:asciiTheme="majorHAnsi" w:hAnsiTheme="majorHAnsi" w:cstheme="majorHAnsi"/>
                <w:noProof w:val="0"/>
                <w:sz w:val="20"/>
                <w:szCs w:val="20"/>
              </w:rPr>
              <w:t>(</w:t>
            </w:r>
            <w:r w:rsidRPr="004E517D">
              <w:rPr>
                <w:rFonts w:asciiTheme="majorHAnsi" w:hAnsiTheme="majorHAnsi" w:cstheme="majorHAnsi"/>
                <w:noProof w:val="0"/>
                <w:sz w:val="20"/>
                <w:szCs w:val="20"/>
              </w:rPr>
              <w:t>NREI</w:t>
            </w:r>
            <w:r w:rsidR="005E147D">
              <w:rPr>
                <w:rFonts w:asciiTheme="majorHAnsi" w:hAnsiTheme="majorHAnsi" w:cstheme="majorHAnsi"/>
                <w:noProof w:val="0"/>
                <w:sz w:val="20"/>
                <w:szCs w:val="20"/>
              </w:rPr>
              <w:t>)</w:t>
            </w:r>
            <w:r w:rsidR="00DC4B00">
              <w:rPr>
                <w:rFonts w:asciiTheme="majorHAnsi" w:hAnsiTheme="majorHAnsi" w:cstheme="majorHAnsi"/>
                <w:noProof w:val="0"/>
                <w:sz w:val="20"/>
                <w:szCs w:val="20"/>
              </w:rPr>
              <w:t>, especially regarding additional consultation, the E&amp;S assessment process is progressing and should be finalized in the next months</w:t>
            </w:r>
            <w:r w:rsidR="00D04149">
              <w:rPr>
                <w:rFonts w:asciiTheme="majorHAnsi" w:hAnsiTheme="majorHAnsi" w:cstheme="majorHAnsi"/>
                <w:noProof w:val="0"/>
                <w:sz w:val="20"/>
                <w:szCs w:val="20"/>
              </w:rPr>
              <w:t>,</w:t>
            </w:r>
            <w:r w:rsidRPr="004E517D">
              <w:rPr>
                <w:rFonts w:asciiTheme="majorHAnsi" w:hAnsiTheme="majorHAnsi" w:cstheme="majorHAnsi"/>
                <w:noProof w:val="0"/>
                <w:sz w:val="20"/>
                <w:szCs w:val="20"/>
              </w:rPr>
              <w:t xml:space="preserve"> </w:t>
            </w:r>
            <w:r w:rsidR="003B3AA0" w:rsidRPr="004E517D">
              <w:rPr>
                <w:rFonts w:asciiTheme="majorHAnsi" w:hAnsiTheme="majorHAnsi" w:cstheme="majorHAnsi"/>
                <w:noProof w:val="0"/>
                <w:sz w:val="20"/>
                <w:szCs w:val="20"/>
              </w:rPr>
              <w:t>CDB</w:t>
            </w:r>
            <w:r w:rsidR="00DC4B00">
              <w:rPr>
                <w:rFonts w:asciiTheme="majorHAnsi" w:hAnsiTheme="majorHAnsi" w:cstheme="majorHAnsi"/>
                <w:noProof w:val="0"/>
                <w:sz w:val="20"/>
                <w:szCs w:val="20"/>
              </w:rPr>
              <w:t>’</w:t>
            </w:r>
            <w:r w:rsidR="003B3AA0" w:rsidRPr="004E517D">
              <w:rPr>
                <w:rFonts w:asciiTheme="majorHAnsi" w:hAnsiTheme="majorHAnsi" w:cstheme="majorHAnsi"/>
                <w:noProof w:val="0"/>
                <w:sz w:val="20"/>
                <w:szCs w:val="20"/>
              </w:rPr>
              <w:t>s response times have been slow</w:t>
            </w:r>
            <w:r w:rsidR="00DC4B00">
              <w:rPr>
                <w:rFonts w:asciiTheme="majorHAnsi" w:hAnsiTheme="majorHAnsi" w:cstheme="majorHAnsi"/>
                <w:noProof w:val="0"/>
                <w:sz w:val="20"/>
                <w:szCs w:val="20"/>
              </w:rPr>
              <w:t>, especially in terms of review of draft chapters of the Supplemental ESIA being prepared</w:t>
            </w:r>
            <w:r w:rsidR="003B3AA0" w:rsidRPr="004E517D">
              <w:rPr>
                <w:rFonts w:asciiTheme="majorHAnsi" w:hAnsiTheme="majorHAnsi" w:cstheme="majorHAnsi"/>
                <w:noProof w:val="0"/>
                <w:sz w:val="20"/>
                <w:szCs w:val="20"/>
              </w:rPr>
              <w:t xml:space="preserve">. </w:t>
            </w:r>
            <w:r w:rsidR="00F44868">
              <w:rPr>
                <w:rFonts w:asciiTheme="majorHAnsi" w:hAnsiTheme="majorHAnsi" w:cstheme="majorHAnsi"/>
                <w:noProof w:val="0"/>
                <w:sz w:val="20"/>
                <w:szCs w:val="20"/>
              </w:rPr>
              <w:t>If NREI indeed decide</w:t>
            </w:r>
            <w:r w:rsidR="00846AEC">
              <w:rPr>
                <w:rFonts w:asciiTheme="majorHAnsi" w:hAnsiTheme="majorHAnsi" w:cstheme="majorHAnsi"/>
                <w:noProof w:val="0"/>
                <w:sz w:val="20"/>
                <w:szCs w:val="20"/>
              </w:rPr>
              <w:t>s</w:t>
            </w:r>
            <w:r w:rsidR="00F44868">
              <w:rPr>
                <w:rFonts w:asciiTheme="majorHAnsi" w:hAnsiTheme="majorHAnsi" w:cstheme="majorHAnsi"/>
                <w:noProof w:val="0"/>
                <w:sz w:val="20"/>
                <w:szCs w:val="20"/>
              </w:rPr>
              <w:t xml:space="preserve"> to only request financing for the explora</w:t>
            </w:r>
            <w:r w:rsidR="00846AEC">
              <w:rPr>
                <w:rFonts w:asciiTheme="majorHAnsi" w:hAnsiTheme="majorHAnsi" w:cstheme="majorHAnsi"/>
                <w:noProof w:val="0"/>
                <w:sz w:val="20"/>
                <w:szCs w:val="20"/>
              </w:rPr>
              <w:t>tory</w:t>
            </w:r>
            <w:r w:rsidR="00F44868">
              <w:rPr>
                <w:rFonts w:asciiTheme="majorHAnsi" w:hAnsiTheme="majorHAnsi" w:cstheme="majorHAnsi"/>
                <w:noProof w:val="0"/>
                <w:sz w:val="20"/>
                <w:szCs w:val="20"/>
              </w:rPr>
              <w:t xml:space="preserve"> drilling phase, which would determine if the geothermal resources are sufficient for the development of </w:t>
            </w:r>
            <w:r w:rsidR="00846AEC">
              <w:rPr>
                <w:rFonts w:asciiTheme="majorHAnsi" w:hAnsiTheme="majorHAnsi" w:cstheme="majorHAnsi"/>
                <w:noProof w:val="0"/>
                <w:sz w:val="20"/>
                <w:szCs w:val="20"/>
              </w:rPr>
              <w:t>an</w:t>
            </w:r>
            <w:r w:rsidR="00F44868">
              <w:rPr>
                <w:rFonts w:asciiTheme="majorHAnsi" w:hAnsiTheme="majorHAnsi" w:cstheme="majorHAnsi"/>
                <w:noProof w:val="0"/>
                <w:sz w:val="20"/>
                <w:szCs w:val="20"/>
              </w:rPr>
              <w:t xml:space="preserve"> electricity generation plant, an Environmental Assessment report for these </w:t>
            </w:r>
            <w:r w:rsidR="00846AEC">
              <w:rPr>
                <w:rFonts w:asciiTheme="majorHAnsi" w:hAnsiTheme="majorHAnsi" w:cstheme="majorHAnsi"/>
                <w:noProof w:val="0"/>
                <w:sz w:val="20"/>
                <w:szCs w:val="20"/>
              </w:rPr>
              <w:t xml:space="preserve">exploration </w:t>
            </w:r>
            <w:r w:rsidR="00F44868">
              <w:rPr>
                <w:rFonts w:asciiTheme="majorHAnsi" w:hAnsiTheme="majorHAnsi" w:cstheme="majorHAnsi"/>
                <w:noProof w:val="0"/>
                <w:sz w:val="20"/>
                <w:szCs w:val="20"/>
              </w:rPr>
              <w:t>works will have to be prepared from the original and the supplemental ESIA.</w:t>
            </w:r>
          </w:p>
          <w:p w14:paraId="69D050AA" w14:textId="2BEC246F" w:rsidR="00106B61" w:rsidRPr="00106B61" w:rsidRDefault="00465346" w:rsidP="00106B61">
            <w:pPr>
              <w:spacing w:before="120" w:after="120"/>
              <w:jc w:val="both"/>
              <w:rPr>
                <w:rFonts w:asciiTheme="majorHAnsi" w:hAnsiTheme="majorHAnsi" w:cstheme="majorHAnsi"/>
                <w:noProof w:val="0"/>
                <w:sz w:val="20"/>
                <w:szCs w:val="20"/>
              </w:rPr>
            </w:pPr>
            <w:r w:rsidRPr="001760EC">
              <w:rPr>
                <w:rFonts w:asciiTheme="majorHAnsi" w:hAnsiTheme="majorHAnsi" w:cstheme="majorHAnsi"/>
                <w:b/>
                <w:bCs/>
                <w:noProof w:val="0"/>
                <w:sz w:val="20"/>
                <w:szCs w:val="20"/>
              </w:rPr>
              <w:t>Grenada</w:t>
            </w:r>
            <w:r w:rsidRPr="00602347">
              <w:rPr>
                <w:rFonts w:asciiTheme="majorHAnsi" w:hAnsiTheme="majorHAnsi" w:cstheme="majorHAnsi"/>
                <w:noProof w:val="0"/>
                <w:sz w:val="20"/>
                <w:szCs w:val="20"/>
              </w:rPr>
              <w:t xml:space="preserve">: </w:t>
            </w:r>
            <w:r w:rsidR="000F176A" w:rsidRPr="004E517D">
              <w:rPr>
                <w:rFonts w:asciiTheme="majorHAnsi" w:hAnsiTheme="majorHAnsi" w:cstheme="majorHAnsi"/>
                <w:noProof w:val="0"/>
                <w:sz w:val="20"/>
                <w:szCs w:val="20"/>
              </w:rPr>
              <w:t xml:space="preserve">The Grenada project is in the planning stage and no physical supervision has taken place. However, ESG reviewed the ESIA scoping report (Mott MacDonald) and provided comments to CDB in September 2019.  </w:t>
            </w:r>
            <w:r w:rsidR="00B718CF">
              <w:rPr>
                <w:rFonts w:asciiTheme="majorHAnsi" w:hAnsiTheme="majorHAnsi" w:cstheme="majorHAnsi"/>
                <w:noProof w:val="0"/>
                <w:sz w:val="20"/>
                <w:szCs w:val="20"/>
              </w:rPr>
              <w:t xml:space="preserve">As a result of scoping consultation from July 2019, additional potential negative impacts on water resources were identified. </w:t>
            </w:r>
            <w:r w:rsidR="00AC171B">
              <w:rPr>
                <w:rFonts w:asciiTheme="majorHAnsi" w:hAnsiTheme="majorHAnsi" w:cstheme="majorHAnsi"/>
                <w:noProof w:val="0"/>
                <w:sz w:val="20"/>
                <w:szCs w:val="20"/>
              </w:rPr>
              <w:t>The Sponsor began to assess a</w:t>
            </w:r>
            <w:r w:rsidR="00B718CF">
              <w:rPr>
                <w:rFonts w:asciiTheme="majorHAnsi" w:hAnsiTheme="majorHAnsi" w:cstheme="majorHAnsi"/>
                <w:noProof w:val="0"/>
                <w:sz w:val="20"/>
                <w:szCs w:val="20"/>
              </w:rPr>
              <w:t xml:space="preserve">lternative sites, requiring </w:t>
            </w:r>
            <w:r w:rsidR="00106B61">
              <w:rPr>
                <w:rFonts w:asciiTheme="majorHAnsi" w:hAnsiTheme="majorHAnsi" w:cstheme="majorHAnsi"/>
                <w:noProof w:val="0"/>
                <w:sz w:val="20"/>
                <w:szCs w:val="20"/>
              </w:rPr>
              <w:t xml:space="preserve">a change in the ESIA scope of work. </w:t>
            </w:r>
            <w:r w:rsidR="00106B61" w:rsidRPr="00106B61">
              <w:rPr>
                <w:rFonts w:asciiTheme="majorHAnsi" w:hAnsiTheme="majorHAnsi" w:cstheme="majorHAnsi"/>
                <w:noProof w:val="0"/>
                <w:sz w:val="20"/>
                <w:szCs w:val="20"/>
              </w:rPr>
              <w:t>Regarding the Grenada geothermal project ESIA, there have been some technical, environmental and social factors – especially the change in the location of one of the well pads planned - which have combined to necessitate a variation to the existing consulting contract. The location of the well pad was changed to avoid potential impacts on water resources utilized by a mineral water bottling company and is now planned for a different watershed. Significant additional work is now required to complete the ESIA. CDB E&amp;S specialists visited Grenada in the context of these discussions in 2019 and met with the Project Coordinator and Community Liaison Officer.</w:t>
            </w:r>
          </w:p>
          <w:p w14:paraId="77B38490" w14:textId="6B7CBCD3" w:rsidR="00106B61" w:rsidRPr="00106B61" w:rsidRDefault="00106B61" w:rsidP="00106B61">
            <w:pPr>
              <w:spacing w:before="120" w:after="120"/>
              <w:jc w:val="both"/>
              <w:rPr>
                <w:rFonts w:asciiTheme="majorHAnsi" w:hAnsiTheme="majorHAnsi" w:cstheme="majorHAnsi"/>
                <w:noProof w:val="0"/>
                <w:sz w:val="20"/>
                <w:szCs w:val="20"/>
              </w:rPr>
            </w:pPr>
            <w:r w:rsidRPr="00106B61">
              <w:rPr>
                <w:rFonts w:asciiTheme="majorHAnsi" w:hAnsiTheme="majorHAnsi" w:cstheme="majorHAnsi"/>
                <w:noProof w:val="0"/>
                <w:sz w:val="20"/>
                <w:szCs w:val="20"/>
              </w:rPr>
              <w:t xml:space="preserve">The Grenada Geothermal Energy Development Project is currently in its exploratory drilling phase, which proposes the drilling of two deep exploratory wells at two locations in the north of the island. The current schedule for completion of exploratory drilling and testing is early 2023. If the exploratory drilling results indicate a technically viable geothermal source, a pre-feasibility study will rank the sites and recommend a preferred site for development. Accordingly, the Government of Grenada will competitively award a time-constrained concession for the development of the geothermal project through the subsequent project phases (phase 3 – Appraisal Drilling &amp; Bankability, phase 4 – Production Drilling &amp; Construction, and phase 5 – Operation under a long-term power purchase agreement). </w:t>
            </w:r>
          </w:p>
          <w:p w14:paraId="34535389" w14:textId="244DA61A" w:rsidR="0059055B" w:rsidRDefault="00106B61" w:rsidP="00106B61">
            <w:pPr>
              <w:spacing w:before="120" w:after="120"/>
              <w:jc w:val="both"/>
              <w:rPr>
                <w:rFonts w:asciiTheme="majorHAnsi" w:hAnsiTheme="majorHAnsi" w:cstheme="majorHAnsi"/>
                <w:noProof w:val="0"/>
                <w:sz w:val="20"/>
                <w:szCs w:val="20"/>
              </w:rPr>
            </w:pPr>
            <w:r w:rsidRPr="00106B61">
              <w:rPr>
                <w:rFonts w:asciiTheme="majorHAnsi" w:hAnsiTheme="majorHAnsi" w:cstheme="majorHAnsi"/>
                <w:noProof w:val="0"/>
                <w:sz w:val="20"/>
                <w:szCs w:val="20"/>
              </w:rPr>
              <w:t xml:space="preserve">A geothermal project management unit (GPMU) comprised of a Project Coordinator and a Community Liaison Officer (CLO full time since June 2019) </w:t>
            </w:r>
            <w:r w:rsidR="00AC171B">
              <w:rPr>
                <w:rFonts w:asciiTheme="majorHAnsi" w:hAnsiTheme="majorHAnsi" w:cstheme="majorHAnsi"/>
                <w:noProof w:val="0"/>
                <w:sz w:val="20"/>
                <w:szCs w:val="20"/>
              </w:rPr>
              <w:t>has been</w:t>
            </w:r>
            <w:r w:rsidR="00AC171B" w:rsidRPr="00106B61">
              <w:rPr>
                <w:rFonts w:asciiTheme="majorHAnsi" w:hAnsiTheme="majorHAnsi" w:cstheme="majorHAnsi"/>
                <w:noProof w:val="0"/>
                <w:sz w:val="20"/>
                <w:szCs w:val="20"/>
              </w:rPr>
              <w:t xml:space="preserve"> </w:t>
            </w:r>
            <w:r w:rsidRPr="00106B61">
              <w:rPr>
                <w:rFonts w:asciiTheme="majorHAnsi" w:hAnsiTheme="majorHAnsi" w:cstheme="majorHAnsi"/>
                <w:noProof w:val="0"/>
                <w:sz w:val="20"/>
                <w:szCs w:val="20"/>
              </w:rPr>
              <w:t>established within the Ministry of Infrastructure Development, Public Utilities, Energy, Transport &amp; Implementation and is providing full-time management and coordination of the project’s activities. Additional human resources are scheduled to be added to the GPMU in 2020 (a Land Liaison Officer and a Public Information &amp; Communications Consultant). The Land Liaison Officer will be responsible for further engaging with the 12 property owners that have been identified in the vicinity of drilling locations.</w:t>
            </w:r>
            <w:r w:rsidR="00AC171B">
              <w:rPr>
                <w:rFonts w:asciiTheme="majorHAnsi" w:hAnsiTheme="majorHAnsi" w:cstheme="majorHAnsi"/>
                <w:noProof w:val="0"/>
                <w:sz w:val="20"/>
                <w:szCs w:val="20"/>
              </w:rPr>
              <w:t xml:space="preserve"> </w:t>
            </w:r>
            <w:r w:rsidRPr="00106B61">
              <w:rPr>
                <w:rFonts w:asciiTheme="majorHAnsi" w:hAnsiTheme="majorHAnsi" w:cstheme="majorHAnsi"/>
                <w:noProof w:val="0"/>
                <w:sz w:val="20"/>
                <w:szCs w:val="20"/>
              </w:rPr>
              <w:t>CDB is providing grant funding for project management and consulting activities.</w:t>
            </w:r>
          </w:p>
          <w:p w14:paraId="13B37BCF" w14:textId="116939CC" w:rsidR="00B718CF" w:rsidRPr="004E517D" w:rsidRDefault="00B718CF" w:rsidP="00074CC4">
            <w:pPr>
              <w:spacing w:before="120" w:after="120"/>
              <w:jc w:val="both"/>
              <w:rPr>
                <w:rFonts w:asciiTheme="majorHAnsi" w:hAnsiTheme="majorHAnsi" w:cstheme="majorHAnsi"/>
                <w:b/>
                <w:bCs/>
                <w:noProof w:val="0"/>
                <w:sz w:val="20"/>
                <w:szCs w:val="20"/>
              </w:rPr>
            </w:pPr>
            <w:r>
              <w:rPr>
                <w:rFonts w:asciiTheme="majorHAnsi" w:hAnsiTheme="majorHAnsi" w:cstheme="majorHAnsi"/>
                <w:b/>
                <w:bCs/>
                <w:noProof w:val="0"/>
                <w:sz w:val="20"/>
                <w:szCs w:val="20"/>
              </w:rPr>
              <w:t xml:space="preserve">Dominica: </w:t>
            </w:r>
            <w:r w:rsidRPr="004E517D">
              <w:rPr>
                <w:rFonts w:asciiTheme="majorHAnsi" w:hAnsiTheme="majorHAnsi" w:cstheme="majorHAnsi"/>
                <w:noProof w:val="0"/>
                <w:sz w:val="20"/>
                <w:szCs w:val="20"/>
              </w:rPr>
              <w:t xml:space="preserve">The </w:t>
            </w:r>
            <w:r>
              <w:rPr>
                <w:rFonts w:asciiTheme="majorHAnsi" w:hAnsiTheme="majorHAnsi" w:cstheme="majorHAnsi"/>
                <w:noProof w:val="0"/>
                <w:sz w:val="20"/>
                <w:szCs w:val="20"/>
              </w:rPr>
              <w:t>Dominica</w:t>
            </w:r>
            <w:r w:rsidRPr="004E517D">
              <w:rPr>
                <w:rFonts w:asciiTheme="majorHAnsi" w:hAnsiTheme="majorHAnsi" w:cstheme="majorHAnsi"/>
                <w:noProof w:val="0"/>
                <w:sz w:val="20"/>
                <w:szCs w:val="20"/>
              </w:rPr>
              <w:t xml:space="preserve"> project is in a planning stage, and no physical supervision has taken place. ESG </w:t>
            </w:r>
            <w:r>
              <w:rPr>
                <w:rFonts w:asciiTheme="majorHAnsi" w:hAnsiTheme="majorHAnsi" w:cstheme="majorHAnsi"/>
                <w:noProof w:val="0"/>
                <w:sz w:val="20"/>
                <w:szCs w:val="20"/>
              </w:rPr>
              <w:t xml:space="preserve">and CDB are managing a contract with ERM, who is preparing a </w:t>
            </w:r>
            <w:r w:rsidR="00AC171B">
              <w:rPr>
                <w:rFonts w:asciiTheme="majorHAnsi" w:hAnsiTheme="majorHAnsi" w:cstheme="majorHAnsi"/>
                <w:noProof w:val="0"/>
                <w:sz w:val="20"/>
                <w:szCs w:val="20"/>
              </w:rPr>
              <w:t>g</w:t>
            </w:r>
            <w:r>
              <w:rPr>
                <w:rFonts w:asciiTheme="majorHAnsi" w:hAnsiTheme="majorHAnsi" w:cstheme="majorHAnsi"/>
                <w:noProof w:val="0"/>
                <w:sz w:val="20"/>
                <w:szCs w:val="20"/>
              </w:rPr>
              <w:t xml:space="preserve">ap analysis and an addendum to the original ESIA prepared by Jacobs in 2018. The design of the project has been significantly modified since the original ESIA was prepared and accepted by the World Bank. Based on the information available at this stage, the scope of negative impacts </w:t>
            </w:r>
            <w:r w:rsidR="00AC171B">
              <w:rPr>
                <w:rFonts w:asciiTheme="majorHAnsi" w:hAnsiTheme="majorHAnsi" w:cstheme="majorHAnsi"/>
                <w:noProof w:val="0"/>
                <w:sz w:val="20"/>
                <w:szCs w:val="20"/>
              </w:rPr>
              <w:t>appears to have</w:t>
            </w:r>
            <w:r>
              <w:rPr>
                <w:rFonts w:asciiTheme="majorHAnsi" w:hAnsiTheme="majorHAnsi" w:cstheme="majorHAnsi"/>
                <w:noProof w:val="0"/>
                <w:sz w:val="20"/>
                <w:szCs w:val="20"/>
              </w:rPr>
              <w:t xml:space="preserve"> been reduced, and the addendum to the ESIA and public consultation </w:t>
            </w:r>
            <w:r w:rsidR="00AC171B">
              <w:rPr>
                <w:rFonts w:asciiTheme="majorHAnsi" w:hAnsiTheme="majorHAnsi" w:cstheme="majorHAnsi"/>
                <w:noProof w:val="0"/>
                <w:sz w:val="20"/>
                <w:szCs w:val="20"/>
              </w:rPr>
              <w:t xml:space="preserve">will </w:t>
            </w:r>
            <w:r>
              <w:rPr>
                <w:rFonts w:asciiTheme="majorHAnsi" w:hAnsiTheme="majorHAnsi" w:cstheme="majorHAnsi"/>
                <w:noProof w:val="0"/>
                <w:sz w:val="20"/>
                <w:szCs w:val="20"/>
              </w:rPr>
              <w:t xml:space="preserve">confirm or disprove that. It is expected that a fit-for-disclosure version of the addendum </w:t>
            </w:r>
            <w:r w:rsidR="00AC171B">
              <w:rPr>
                <w:rFonts w:asciiTheme="majorHAnsi" w:hAnsiTheme="majorHAnsi" w:cstheme="majorHAnsi"/>
                <w:noProof w:val="0"/>
                <w:sz w:val="20"/>
                <w:szCs w:val="20"/>
              </w:rPr>
              <w:t xml:space="preserve">will </w:t>
            </w:r>
            <w:r>
              <w:rPr>
                <w:rFonts w:asciiTheme="majorHAnsi" w:hAnsiTheme="majorHAnsi" w:cstheme="majorHAnsi"/>
                <w:noProof w:val="0"/>
                <w:sz w:val="20"/>
                <w:szCs w:val="20"/>
              </w:rPr>
              <w:t xml:space="preserve">be ready at the end of October 2020. </w:t>
            </w:r>
            <w:r w:rsidRPr="004E517D">
              <w:rPr>
                <w:rFonts w:asciiTheme="majorHAnsi" w:hAnsiTheme="majorHAnsi" w:cstheme="majorHAnsi"/>
                <w:noProof w:val="0"/>
                <w:sz w:val="20"/>
                <w:szCs w:val="20"/>
              </w:rPr>
              <w:t>CDB</w:t>
            </w:r>
            <w:r>
              <w:rPr>
                <w:rFonts w:asciiTheme="majorHAnsi" w:hAnsiTheme="majorHAnsi" w:cstheme="majorHAnsi"/>
                <w:noProof w:val="0"/>
                <w:sz w:val="20"/>
                <w:szCs w:val="20"/>
              </w:rPr>
              <w:t>’</w:t>
            </w:r>
            <w:r w:rsidRPr="004E517D">
              <w:rPr>
                <w:rFonts w:asciiTheme="majorHAnsi" w:hAnsiTheme="majorHAnsi" w:cstheme="majorHAnsi"/>
                <w:noProof w:val="0"/>
                <w:sz w:val="20"/>
                <w:szCs w:val="20"/>
              </w:rPr>
              <w:t xml:space="preserve">s </w:t>
            </w:r>
            <w:r>
              <w:rPr>
                <w:rFonts w:asciiTheme="majorHAnsi" w:hAnsiTheme="majorHAnsi" w:cstheme="majorHAnsi"/>
                <w:noProof w:val="0"/>
                <w:sz w:val="20"/>
                <w:szCs w:val="20"/>
              </w:rPr>
              <w:t>E&amp;S specialists have been closely involved and very responsive during the process.</w:t>
            </w:r>
          </w:p>
          <w:bookmarkEnd w:id="3"/>
          <w:p w14:paraId="101F6385" w14:textId="4FFB0F6D" w:rsidR="003F69E3" w:rsidRPr="004E517D" w:rsidRDefault="003F69E3" w:rsidP="00465346">
            <w:pPr>
              <w:jc w:val="both"/>
              <w:rPr>
                <w:rFonts w:asciiTheme="majorHAnsi" w:hAnsiTheme="majorHAnsi" w:cstheme="majorHAnsi"/>
                <w:i/>
                <w:noProof w:val="0"/>
                <w:sz w:val="20"/>
                <w:szCs w:val="20"/>
                <w:u w:val="single"/>
              </w:rPr>
            </w:pPr>
          </w:p>
        </w:tc>
      </w:tr>
    </w:tbl>
    <w:p w14:paraId="048A25BA" w14:textId="77777777" w:rsidR="00727797" w:rsidRPr="004F0961" w:rsidRDefault="00727797" w:rsidP="00182417">
      <w:pPr>
        <w:rPr>
          <w:rFonts w:asciiTheme="majorHAnsi" w:hAnsiTheme="majorHAnsi" w:cstheme="majorHAnsi"/>
          <w:noProof w:val="0"/>
          <w:sz w:val="20"/>
          <w:szCs w:val="20"/>
        </w:rPr>
        <w:sectPr w:rsidR="00727797" w:rsidRPr="004F0961" w:rsidSect="003820E4">
          <w:headerReference w:type="default" r:id="rId7"/>
          <w:footerReference w:type="default" r:id="rId8"/>
          <w:pgSz w:w="12240" w:h="15840"/>
          <w:pgMar w:top="1440" w:right="900" w:bottom="1440" w:left="1800" w:header="720" w:footer="720" w:gutter="0"/>
          <w:cols w:space="720"/>
          <w:docGrid w:linePitch="360"/>
        </w:sectPr>
      </w:pPr>
    </w:p>
    <w:p w14:paraId="33611033" w14:textId="77777777" w:rsidR="00C24E59" w:rsidRPr="004F0961" w:rsidRDefault="00C24E59" w:rsidP="00182417">
      <w:pPr>
        <w:rPr>
          <w:rFonts w:asciiTheme="majorHAnsi" w:hAnsiTheme="majorHAnsi" w:cstheme="majorHAnsi"/>
          <w:noProof w:val="0"/>
          <w:sz w:val="20"/>
          <w:szCs w:val="20"/>
        </w:rPr>
      </w:pPr>
    </w:p>
    <w:tbl>
      <w:tblPr>
        <w:tblW w:w="129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65"/>
        <w:gridCol w:w="1170"/>
        <w:gridCol w:w="1440"/>
        <w:gridCol w:w="3330"/>
        <w:gridCol w:w="990"/>
        <w:gridCol w:w="990"/>
        <w:gridCol w:w="1080"/>
        <w:gridCol w:w="1710"/>
        <w:gridCol w:w="1080"/>
      </w:tblGrid>
      <w:tr w:rsidR="00B105BD" w:rsidRPr="004F0961" w14:paraId="42A1BA31" w14:textId="327F476F" w:rsidTr="007929DE">
        <w:trPr>
          <w:trHeight w:val="84"/>
          <w:jc w:val="center"/>
        </w:trPr>
        <w:tc>
          <w:tcPr>
            <w:tcW w:w="12955" w:type="dxa"/>
            <w:gridSpan w:val="9"/>
            <w:shd w:val="clear" w:color="auto" w:fill="8DB3E2" w:themeFill="text2" w:themeFillTint="66"/>
          </w:tcPr>
          <w:p w14:paraId="57E44032" w14:textId="2164F7EF" w:rsidR="00B105BD" w:rsidRPr="004F0961" w:rsidRDefault="00B105BD" w:rsidP="005F2A2E">
            <w:pPr>
              <w:jc w:val="center"/>
              <w:rPr>
                <w:rFonts w:asciiTheme="majorHAnsi" w:eastAsia="Times New Roman" w:hAnsiTheme="majorHAnsi" w:cstheme="majorHAnsi"/>
                <w:b/>
                <w:bCs/>
                <w:noProof w:val="0"/>
                <w:color w:val="FFFFFF" w:themeColor="background1"/>
              </w:rPr>
            </w:pPr>
            <w:r w:rsidRPr="004F0961">
              <w:rPr>
                <w:rFonts w:asciiTheme="majorHAnsi" w:eastAsia="Times New Roman" w:hAnsiTheme="majorHAnsi" w:cstheme="majorHAnsi"/>
                <w:b/>
                <w:bCs/>
                <w:noProof w:val="0"/>
                <w:color w:val="FFFFFF" w:themeColor="background1"/>
              </w:rPr>
              <w:t xml:space="preserve">Table </w:t>
            </w:r>
            <w:r w:rsidR="00B63FC7" w:rsidRPr="004F0961">
              <w:rPr>
                <w:rFonts w:asciiTheme="majorHAnsi" w:eastAsia="Times New Roman" w:hAnsiTheme="majorHAnsi" w:cstheme="majorHAnsi"/>
                <w:b/>
                <w:bCs/>
                <w:noProof w:val="0"/>
                <w:color w:val="FFFFFF" w:themeColor="background1"/>
              </w:rPr>
              <w:t>1</w:t>
            </w:r>
            <w:r w:rsidRPr="004F0961">
              <w:rPr>
                <w:rFonts w:asciiTheme="majorHAnsi" w:eastAsia="Times New Roman" w:hAnsiTheme="majorHAnsi" w:cstheme="majorHAnsi"/>
                <w:b/>
                <w:bCs/>
                <w:noProof w:val="0"/>
                <w:color w:val="FFFFFF" w:themeColor="background1"/>
              </w:rPr>
              <w:t xml:space="preserve">. </w:t>
            </w:r>
            <w:r w:rsidR="00F30371" w:rsidRPr="004F0961">
              <w:rPr>
                <w:rFonts w:asciiTheme="majorHAnsi" w:eastAsia="Times New Roman" w:hAnsiTheme="majorHAnsi" w:cstheme="majorHAnsi"/>
                <w:b/>
                <w:bCs/>
                <w:noProof w:val="0"/>
                <w:color w:val="FFFFFF" w:themeColor="background1"/>
              </w:rPr>
              <w:t xml:space="preserve">COMPLIANCE TABLE AND </w:t>
            </w:r>
            <w:r w:rsidRPr="004F0961">
              <w:rPr>
                <w:rFonts w:asciiTheme="majorHAnsi" w:eastAsia="Times New Roman" w:hAnsiTheme="majorHAnsi" w:cstheme="majorHAnsi"/>
                <w:b/>
                <w:bCs/>
                <w:noProof w:val="0"/>
                <w:color w:val="FFFFFF" w:themeColor="background1"/>
              </w:rPr>
              <w:t>ACTION PLAN</w:t>
            </w:r>
          </w:p>
        </w:tc>
      </w:tr>
      <w:tr w:rsidR="00A97D8B" w:rsidRPr="005418CA" w14:paraId="5A9703C7" w14:textId="6A7F93F4" w:rsidTr="00C718A9">
        <w:trPr>
          <w:trHeight w:val="467"/>
          <w:jc w:val="center"/>
        </w:trPr>
        <w:tc>
          <w:tcPr>
            <w:tcW w:w="1165" w:type="dxa"/>
            <w:shd w:val="clear" w:color="auto" w:fill="8DB3E2" w:themeFill="text2" w:themeFillTint="66"/>
            <w:vAlign w:val="center"/>
          </w:tcPr>
          <w:p w14:paraId="01A607A8" w14:textId="39885691" w:rsidR="00B105BD" w:rsidRPr="004F0961" w:rsidRDefault="00B105BD" w:rsidP="00B105BD">
            <w:pPr>
              <w:jc w:val="center"/>
              <w:rPr>
                <w:rFonts w:asciiTheme="majorHAnsi" w:eastAsia="Times New Roman" w:hAnsiTheme="majorHAnsi" w:cstheme="majorHAnsi"/>
                <w:b/>
                <w:bCs/>
                <w:noProof w:val="0"/>
                <w:color w:val="FFFFFF" w:themeColor="background1"/>
                <w:sz w:val="18"/>
                <w:szCs w:val="18"/>
              </w:rPr>
            </w:pPr>
            <w:bookmarkStart w:id="4" w:name="_Hlk485208223"/>
            <w:r w:rsidRPr="004F0961">
              <w:rPr>
                <w:rFonts w:asciiTheme="majorHAnsi" w:eastAsia="Times New Roman" w:hAnsiTheme="majorHAnsi" w:cstheme="majorHAnsi"/>
                <w:b/>
                <w:bCs/>
                <w:noProof w:val="0"/>
                <w:color w:val="FFFFFF" w:themeColor="background1"/>
                <w:sz w:val="18"/>
                <w:szCs w:val="18"/>
              </w:rPr>
              <w:t>Date of Action</w:t>
            </w:r>
            <w:r w:rsidR="00617F15" w:rsidRPr="004F0961">
              <w:rPr>
                <w:rFonts w:asciiTheme="majorHAnsi" w:eastAsia="Times New Roman" w:hAnsiTheme="majorHAnsi" w:cstheme="majorHAnsi"/>
                <w:b/>
                <w:bCs/>
                <w:noProof w:val="0"/>
                <w:color w:val="FFFFFF" w:themeColor="background1"/>
                <w:sz w:val="18"/>
                <w:szCs w:val="18"/>
              </w:rPr>
              <w:t>/ Compliance</w:t>
            </w:r>
            <w:r w:rsidRPr="004F0961">
              <w:rPr>
                <w:rFonts w:asciiTheme="majorHAnsi" w:eastAsia="Times New Roman" w:hAnsiTheme="majorHAnsi" w:cstheme="majorHAnsi"/>
                <w:b/>
                <w:bCs/>
                <w:noProof w:val="0"/>
                <w:color w:val="FFFFFF" w:themeColor="background1"/>
                <w:sz w:val="18"/>
                <w:szCs w:val="18"/>
              </w:rPr>
              <w:t xml:space="preserve"> Recorded</w:t>
            </w:r>
            <w:bookmarkEnd w:id="4"/>
          </w:p>
        </w:tc>
        <w:tc>
          <w:tcPr>
            <w:tcW w:w="1170" w:type="dxa"/>
            <w:shd w:val="clear" w:color="auto" w:fill="8DB3E2" w:themeFill="text2" w:themeFillTint="66"/>
            <w:vAlign w:val="center"/>
          </w:tcPr>
          <w:p w14:paraId="60342D5F" w14:textId="3AB6D6DE" w:rsidR="00B105BD" w:rsidRPr="004F0961" w:rsidRDefault="00617F15" w:rsidP="00B105BD">
            <w:pPr>
              <w:jc w:val="center"/>
              <w:rPr>
                <w:rFonts w:asciiTheme="majorHAnsi" w:eastAsia="Times New Roman" w:hAnsiTheme="majorHAnsi" w:cstheme="majorHAnsi"/>
                <w:b/>
                <w:bCs/>
                <w:noProof w:val="0"/>
                <w:color w:val="FFFFFF" w:themeColor="background1"/>
                <w:sz w:val="18"/>
                <w:szCs w:val="18"/>
              </w:rPr>
            </w:pPr>
            <w:r w:rsidRPr="004F0961">
              <w:rPr>
                <w:rFonts w:asciiTheme="majorHAnsi" w:eastAsia="Times New Roman" w:hAnsiTheme="majorHAnsi" w:cstheme="majorHAnsi"/>
                <w:b/>
                <w:bCs/>
                <w:noProof w:val="0"/>
                <w:color w:val="FFFFFF" w:themeColor="background1"/>
                <w:sz w:val="18"/>
                <w:szCs w:val="18"/>
              </w:rPr>
              <w:t xml:space="preserve">Applicable </w:t>
            </w:r>
            <w:r w:rsidR="00B105BD" w:rsidRPr="004F0961">
              <w:rPr>
                <w:rFonts w:asciiTheme="majorHAnsi" w:eastAsia="Times New Roman" w:hAnsiTheme="majorHAnsi" w:cstheme="majorHAnsi"/>
                <w:b/>
                <w:bCs/>
                <w:noProof w:val="0"/>
                <w:color w:val="FFFFFF" w:themeColor="background1"/>
                <w:sz w:val="18"/>
                <w:szCs w:val="18"/>
              </w:rPr>
              <w:t>Policy or Directive</w:t>
            </w:r>
          </w:p>
        </w:tc>
        <w:tc>
          <w:tcPr>
            <w:tcW w:w="1440" w:type="dxa"/>
            <w:shd w:val="clear" w:color="auto" w:fill="8DB3E2" w:themeFill="text2" w:themeFillTint="66"/>
            <w:vAlign w:val="center"/>
          </w:tcPr>
          <w:p w14:paraId="603F8E40" w14:textId="1F92C2AB" w:rsidR="00B105BD" w:rsidRPr="004F0961" w:rsidRDefault="00B105BD" w:rsidP="00B105BD">
            <w:pPr>
              <w:jc w:val="center"/>
              <w:rPr>
                <w:rFonts w:asciiTheme="majorHAnsi" w:eastAsia="Times New Roman" w:hAnsiTheme="majorHAnsi" w:cstheme="majorHAnsi"/>
                <w:b/>
                <w:bCs/>
                <w:noProof w:val="0"/>
                <w:color w:val="FFFFFF" w:themeColor="background1"/>
                <w:sz w:val="18"/>
                <w:szCs w:val="18"/>
              </w:rPr>
            </w:pPr>
            <w:r w:rsidRPr="004F0961">
              <w:rPr>
                <w:rFonts w:asciiTheme="majorHAnsi" w:eastAsia="Times New Roman" w:hAnsiTheme="majorHAnsi" w:cstheme="majorHAnsi"/>
                <w:b/>
                <w:bCs/>
                <w:noProof w:val="0"/>
                <w:color w:val="FFFFFF" w:themeColor="background1"/>
                <w:sz w:val="18"/>
                <w:szCs w:val="18"/>
              </w:rPr>
              <w:t>Topic</w:t>
            </w:r>
          </w:p>
        </w:tc>
        <w:tc>
          <w:tcPr>
            <w:tcW w:w="3330" w:type="dxa"/>
            <w:shd w:val="clear" w:color="auto" w:fill="8DB3E2" w:themeFill="text2" w:themeFillTint="66"/>
            <w:vAlign w:val="center"/>
          </w:tcPr>
          <w:p w14:paraId="5170CBBB" w14:textId="5439B39C" w:rsidR="00B105BD" w:rsidRPr="004F0961" w:rsidRDefault="00B105BD" w:rsidP="00B105BD">
            <w:pPr>
              <w:jc w:val="center"/>
              <w:rPr>
                <w:rFonts w:asciiTheme="majorHAnsi" w:eastAsia="Times New Roman" w:hAnsiTheme="majorHAnsi" w:cstheme="majorHAnsi"/>
                <w:b/>
                <w:bCs/>
                <w:noProof w:val="0"/>
                <w:color w:val="FFFFFF" w:themeColor="background1"/>
                <w:sz w:val="18"/>
                <w:szCs w:val="18"/>
              </w:rPr>
            </w:pPr>
            <w:r w:rsidRPr="004F0961">
              <w:rPr>
                <w:rFonts w:asciiTheme="majorHAnsi" w:eastAsia="Times New Roman" w:hAnsiTheme="majorHAnsi" w:cstheme="majorHAnsi"/>
                <w:b/>
                <w:bCs/>
                <w:noProof w:val="0"/>
                <w:color w:val="FFFFFF" w:themeColor="background1"/>
                <w:sz w:val="18"/>
                <w:szCs w:val="18"/>
              </w:rPr>
              <w:t>Action</w:t>
            </w:r>
            <w:r w:rsidR="00617F15" w:rsidRPr="004F0961">
              <w:rPr>
                <w:rFonts w:asciiTheme="majorHAnsi" w:eastAsia="Times New Roman" w:hAnsiTheme="majorHAnsi" w:cstheme="majorHAnsi"/>
                <w:b/>
                <w:bCs/>
                <w:noProof w:val="0"/>
                <w:color w:val="FFFFFF" w:themeColor="background1"/>
                <w:sz w:val="18"/>
                <w:szCs w:val="18"/>
              </w:rPr>
              <w:t xml:space="preserve"> or Observation</w:t>
            </w:r>
          </w:p>
        </w:tc>
        <w:tc>
          <w:tcPr>
            <w:tcW w:w="990" w:type="dxa"/>
            <w:shd w:val="clear" w:color="auto" w:fill="8DB3E2" w:themeFill="text2" w:themeFillTint="66"/>
            <w:vAlign w:val="center"/>
          </w:tcPr>
          <w:p w14:paraId="6F44AE48" w14:textId="77777777" w:rsidR="00B105BD" w:rsidRPr="004F0961" w:rsidRDefault="00B105BD" w:rsidP="00B105BD">
            <w:pPr>
              <w:jc w:val="center"/>
              <w:rPr>
                <w:rFonts w:asciiTheme="majorHAnsi" w:eastAsia="Times New Roman" w:hAnsiTheme="majorHAnsi" w:cstheme="majorHAnsi"/>
                <w:b/>
                <w:bCs/>
                <w:noProof w:val="0"/>
                <w:color w:val="FFFFFF" w:themeColor="background1"/>
                <w:sz w:val="18"/>
                <w:szCs w:val="18"/>
              </w:rPr>
            </w:pPr>
            <w:bookmarkStart w:id="5" w:name="_Hlk485208254"/>
            <w:r w:rsidRPr="004F0961">
              <w:rPr>
                <w:rFonts w:asciiTheme="majorHAnsi" w:eastAsia="Times New Roman" w:hAnsiTheme="majorHAnsi" w:cstheme="majorHAnsi"/>
                <w:b/>
                <w:bCs/>
                <w:noProof w:val="0"/>
                <w:color w:val="FFFFFF" w:themeColor="background1"/>
                <w:sz w:val="18"/>
                <w:szCs w:val="18"/>
              </w:rPr>
              <w:t>Responsible Party</w:t>
            </w:r>
            <w:bookmarkEnd w:id="5"/>
          </w:p>
        </w:tc>
        <w:tc>
          <w:tcPr>
            <w:tcW w:w="990" w:type="dxa"/>
            <w:shd w:val="clear" w:color="auto" w:fill="8DB3E2" w:themeFill="text2" w:themeFillTint="66"/>
            <w:vAlign w:val="center"/>
          </w:tcPr>
          <w:p w14:paraId="38DEE8D5" w14:textId="5BA4A261" w:rsidR="00B105BD" w:rsidRPr="004F0961" w:rsidRDefault="00B105BD" w:rsidP="00B105BD">
            <w:pPr>
              <w:jc w:val="center"/>
              <w:rPr>
                <w:rFonts w:asciiTheme="majorHAnsi" w:eastAsia="Times New Roman" w:hAnsiTheme="majorHAnsi" w:cstheme="majorHAnsi"/>
                <w:b/>
                <w:bCs/>
                <w:noProof w:val="0"/>
                <w:color w:val="FFFFFF" w:themeColor="background1"/>
                <w:sz w:val="18"/>
                <w:szCs w:val="18"/>
              </w:rPr>
            </w:pPr>
            <w:bookmarkStart w:id="6" w:name="_Hlk485208262"/>
            <w:r w:rsidRPr="004F0961">
              <w:rPr>
                <w:rFonts w:asciiTheme="majorHAnsi" w:eastAsia="Times New Roman" w:hAnsiTheme="majorHAnsi" w:cstheme="majorHAnsi"/>
                <w:b/>
                <w:bCs/>
                <w:noProof w:val="0"/>
                <w:color w:val="FFFFFF" w:themeColor="background1"/>
                <w:sz w:val="18"/>
                <w:szCs w:val="18"/>
              </w:rPr>
              <w:t>Agreed Deadline</w:t>
            </w:r>
            <w:bookmarkEnd w:id="6"/>
          </w:p>
        </w:tc>
        <w:tc>
          <w:tcPr>
            <w:tcW w:w="1080" w:type="dxa"/>
            <w:shd w:val="clear" w:color="auto" w:fill="8DB3E2" w:themeFill="text2" w:themeFillTint="66"/>
            <w:vAlign w:val="center"/>
          </w:tcPr>
          <w:p w14:paraId="38B738E4" w14:textId="77868FA4" w:rsidR="00B105BD" w:rsidRPr="004F0961" w:rsidRDefault="00B105BD" w:rsidP="00B105BD">
            <w:pPr>
              <w:jc w:val="center"/>
              <w:rPr>
                <w:rFonts w:asciiTheme="majorHAnsi" w:eastAsia="Times New Roman" w:hAnsiTheme="majorHAnsi" w:cstheme="majorHAnsi"/>
                <w:b/>
                <w:bCs/>
                <w:noProof w:val="0"/>
                <w:color w:val="FFFFFF" w:themeColor="background1"/>
                <w:sz w:val="18"/>
                <w:szCs w:val="18"/>
              </w:rPr>
            </w:pPr>
            <w:bookmarkStart w:id="7" w:name="_Hlk485208276"/>
            <w:r w:rsidRPr="004F0961">
              <w:rPr>
                <w:rFonts w:asciiTheme="majorHAnsi" w:eastAsia="Times New Roman" w:hAnsiTheme="majorHAnsi" w:cstheme="majorHAnsi"/>
                <w:b/>
                <w:bCs/>
                <w:noProof w:val="0"/>
                <w:color w:val="FFFFFF" w:themeColor="background1"/>
                <w:sz w:val="18"/>
                <w:szCs w:val="18"/>
              </w:rPr>
              <w:t>Evidence/ Deliverable</w:t>
            </w:r>
            <w:bookmarkEnd w:id="7"/>
          </w:p>
        </w:tc>
        <w:tc>
          <w:tcPr>
            <w:tcW w:w="1710" w:type="dxa"/>
            <w:shd w:val="clear" w:color="auto" w:fill="8DB3E2" w:themeFill="text2" w:themeFillTint="66"/>
            <w:vAlign w:val="center"/>
          </w:tcPr>
          <w:p w14:paraId="59907985" w14:textId="317F8DEA" w:rsidR="00B105BD" w:rsidRPr="004F0961" w:rsidRDefault="00B105BD" w:rsidP="00B105BD">
            <w:pPr>
              <w:jc w:val="center"/>
              <w:rPr>
                <w:rFonts w:asciiTheme="majorHAnsi" w:eastAsia="Times New Roman" w:hAnsiTheme="majorHAnsi" w:cstheme="majorHAnsi"/>
                <w:b/>
                <w:bCs/>
                <w:noProof w:val="0"/>
                <w:color w:val="FFFFFF" w:themeColor="background1"/>
                <w:sz w:val="18"/>
                <w:szCs w:val="18"/>
              </w:rPr>
            </w:pPr>
            <w:r w:rsidRPr="004F0961">
              <w:rPr>
                <w:rFonts w:asciiTheme="majorHAnsi" w:eastAsia="Times New Roman" w:hAnsiTheme="majorHAnsi" w:cstheme="majorHAnsi"/>
                <w:b/>
                <w:bCs/>
                <w:noProof w:val="0"/>
                <w:color w:val="FFFFFF" w:themeColor="background1"/>
                <w:sz w:val="18"/>
                <w:szCs w:val="18"/>
              </w:rPr>
              <w:t>Status</w:t>
            </w:r>
          </w:p>
          <w:p w14:paraId="1CC01E04" w14:textId="5FDB93E1" w:rsidR="00C93521" w:rsidRPr="004F0961" w:rsidRDefault="00B105BD" w:rsidP="00B105BD">
            <w:pPr>
              <w:jc w:val="center"/>
              <w:rPr>
                <w:rFonts w:asciiTheme="majorHAnsi" w:eastAsia="Times New Roman" w:hAnsiTheme="majorHAnsi" w:cstheme="majorHAnsi"/>
                <w:b/>
                <w:bCs/>
                <w:noProof w:val="0"/>
                <w:color w:val="FFFFFF" w:themeColor="background1"/>
                <w:sz w:val="18"/>
                <w:szCs w:val="18"/>
              </w:rPr>
            </w:pPr>
            <w:r w:rsidRPr="004F0961">
              <w:rPr>
                <w:rFonts w:asciiTheme="majorHAnsi" w:eastAsia="Times New Roman" w:hAnsiTheme="majorHAnsi" w:cstheme="majorHAnsi"/>
                <w:b/>
                <w:bCs/>
                <w:noProof w:val="0"/>
                <w:color w:val="FFFFFF" w:themeColor="background1"/>
                <w:sz w:val="18"/>
                <w:szCs w:val="18"/>
              </w:rPr>
              <w:t>(</w:t>
            </w:r>
            <w:r w:rsidR="00DD3F72" w:rsidRPr="004F0961">
              <w:rPr>
                <w:rFonts w:asciiTheme="majorHAnsi" w:eastAsia="Times New Roman" w:hAnsiTheme="majorHAnsi" w:cstheme="majorHAnsi"/>
                <w:b/>
                <w:bCs/>
                <w:noProof w:val="0"/>
                <w:color w:val="FFFFFF" w:themeColor="background1"/>
                <w:sz w:val="18"/>
                <w:szCs w:val="18"/>
              </w:rPr>
              <w:t>R</w:t>
            </w:r>
            <w:r w:rsidRPr="004F0961">
              <w:rPr>
                <w:rFonts w:asciiTheme="majorHAnsi" w:eastAsia="Times New Roman" w:hAnsiTheme="majorHAnsi" w:cstheme="majorHAnsi"/>
                <w:b/>
                <w:bCs/>
                <w:noProof w:val="0"/>
                <w:color w:val="FFFFFF" w:themeColor="background1"/>
                <w:sz w:val="18"/>
                <w:szCs w:val="18"/>
              </w:rPr>
              <w:t xml:space="preserve">efers to the progress </w:t>
            </w:r>
            <w:r w:rsidR="00617F15" w:rsidRPr="004F0961">
              <w:rPr>
                <w:rFonts w:asciiTheme="majorHAnsi" w:eastAsia="Times New Roman" w:hAnsiTheme="majorHAnsi" w:cstheme="majorHAnsi"/>
                <w:b/>
                <w:bCs/>
                <w:noProof w:val="0"/>
                <w:color w:val="FFFFFF" w:themeColor="background1"/>
                <w:sz w:val="18"/>
                <w:szCs w:val="18"/>
              </w:rPr>
              <w:t xml:space="preserve">for that topic (not </w:t>
            </w:r>
            <w:r w:rsidRPr="004F0961">
              <w:rPr>
                <w:rFonts w:asciiTheme="majorHAnsi" w:eastAsia="Times New Roman" w:hAnsiTheme="majorHAnsi" w:cstheme="majorHAnsi"/>
                <w:b/>
                <w:bCs/>
                <w:noProof w:val="0"/>
                <w:color w:val="FFFFFF" w:themeColor="background1"/>
                <w:sz w:val="18"/>
                <w:szCs w:val="18"/>
              </w:rPr>
              <w:t>started, on</w:t>
            </w:r>
            <w:r w:rsidR="00617F15" w:rsidRPr="004F0961">
              <w:rPr>
                <w:rFonts w:asciiTheme="majorHAnsi" w:eastAsia="Times New Roman" w:hAnsiTheme="majorHAnsi" w:cstheme="majorHAnsi"/>
                <w:b/>
                <w:bCs/>
                <w:noProof w:val="0"/>
                <w:color w:val="FFFFFF" w:themeColor="background1"/>
                <w:sz w:val="18"/>
                <w:szCs w:val="18"/>
              </w:rPr>
              <w:t>going</w:t>
            </w:r>
            <w:r w:rsidRPr="004F0961">
              <w:rPr>
                <w:rFonts w:asciiTheme="majorHAnsi" w:eastAsia="Times New Roman" w:hAnsiTheme="majorHAnsi" w:cstheme="majorHAnsi"/>
                <w:b/>
                <w:bCs/>
                <w:noProof w:val="0"/>
                <w:color w:val="FFFFFF" w:themeColor="background1"/>
                <w:sz w:val="18"/>
                <w:szCs w:val="18"/>
              </w:rPr>
              <w:t xml:space="preserve"> or completed)</w:t>
            </w:r>
          </w:p>
        </w:tc>
        <w:tc>
          <w:tcPr>
            <w:tcW w:w="1080" w:type="dxa"/>
            <w:shd w:val="clear" w:color="auto" w:fill="8DB3E2" w:themeFill="text2" w:themeFillTint="66"/>
            <w:vAlign w:val="center"/>
          </w:tcPr>
          <w:p w14:paraId="3B5BF705" w14:textId="67F5C316" w:rsidR="00B105BD" w:rsidRPr="004F0961" w:rsidRDefault="00B105BD" w:rsidP="00B105BD">
            <w:pPr>
              <w:jc w:val="center"/>
              <w:rPr>
                <w:rFonts w:asciiTheme="majorHAnsi" w:eastAsia="Times New Roman" w:hAnsiTheme="majorHAnsi" w:cstheme="majorHAnsi"/>
                <w:b/>
                <w:bCs/>
                <w:noProof w:val="0"/>
                <w:color w:val="FFFFFF" w:themeColor="background1"/>
                <w:sz w:val="18"/>
                <w:szCs w:val="18"/>
                <w:lang w:val="fr-FR"/>
              </w:rPr>
            </w:pPr>
            <w:r w:rsidRPr="004F0961">
              <w:rPr>
                <w:rFonts w:asciiTheme="majorHAnsi" w:eastAsia="Times New Roman" w:hAnsiTheme="majorHAnsi" w:cstheme="majorHAnsi"/>
                <w:b/>
                <w:bCs/>
                <w:noProof w:val="0"/>
                <w:color w:val="FFFFFF" w:themeColor="background1"/>
                <w:sz w:val="18"/>
                <w:szCs w:val="18"/>
                <w:lang w:val="fr-FR"/>
              </w:rPr>
              <w:t>Compliance</w:t>
            </w:r>
            <w:r w:rsidR="001A42AB" w:rsidRPr="004F0961">
              <w:rPr>
                <w:rFonts w:asciiTheme="majorHAnsi" w:eastAsia="Times New Roman" w:hAnsiTheme="majorHAnsi" w:cstheme="majorHAnsi"/>
                <w:b/>
                <w:bCs/>
                <w:noProof w:val="0"/>
                <w:color w:val="FFFFFF" w:themeColor="background1"/>
                <w:sz w:val="18"/>
                <w:szCs w:val="18"/>
                <w:lang w:val="fr-FR"/>
              </w:rPr>
              <w:t xml:space="preserve"> </w:t>
            </w:r>
            <w:r w:rsidRPr="004F0961">
              <w:rPr>
                <w:rFonts w:asciiTheme="majorHAnsi" w:eastAsia="Times New Roman" w:hAnsiTheme="majorHAnsi" w:cstheme="majorHAnsi"/>
                <w:b/>
                <w:bCs/>
                <w:noProof w:val="0"/>
                <w:color w:val="FFFFFF" w:themeColor="background1"/>
                <w:sz w:val="18"/>
                <w:szCs w:val="18"/>
                <w:lang w:val="fr-FR"/>
              </w:rPr>
              <w:t>(U, PU, PS, S)</w:t>
            </w:r>
          </w:p>
        </w:tc>
      </w:tr>
      <w:tr w:rsidR="00AF6688" w:rsidRPr="004F0961" w14:paraId="51E86667" w14:textId="77777777" w:rsidTr="00C718A9">
        <w:trPr>
          <w:trHeight w:val="620"/>
          <w:jc w:val="center"/>
        </w:trPr>
        <w:tc>
          <w:tcPr>
            <w:tcW w:w="1165" w:type="dxa"/>
            <w:vAlign w:val="center"/>
          </w:tcPr>
          <w:p w14:paraId="7BC0C070" w14:textId="72299D32" w:rsidR="00C55687" w:rsidRPr="004E517D" w:rsidRDefault="00E52719"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04/17/2020</w:t>
            </w:r>
          </w:p>
        </w:tc>
        <w:tc>
          <w:tcPr>
            <w:tcW w:w="1170" w:type="dxa"/>
            <w:vAlign w:val="center"/>
          </w:tcPr>
          <w:p w14:paraId="2CA377CF" w14:textId="73606494" w:rsidR="00C55687" w:rsidRPr="004E517D" w:rsidRDefault="00503F08"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OP-703 B.3 Screening and classification</w:t>
            </w:r>
          </w:p>
        </w:tc>
        <w:tc>
          <w:tcPr>
            <w:tcW w:w="1440" w:type="dxa"/>
            <w:vAlign w:val="center"/>
          </w:tcPr>
          <w:p w14:paraId="16380210" w14:textId="53FF69FD" w:rsidR="00C55687" w:rsidRPr="004E517D" w:rsidRDefault="00503F08"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Screen and classify subprojects for environmental and social impacts</w:t>
            </w:r>
          </w:p>
        </w:tc>
        <w:tc>
          <w:tcPr>
            <w:tcW w:w="3330" w:type="dxa"/>
            <w:vAlign w:val="center"/>
          </w:tcPr>
          <w:p w14:paraId="7DB3ECAF" w14:textId="0892023A" w:rsidR="00C55687" w:rsidRPr="004E517D" w:rsidRDefault="00503F08" w:rsidP="00C621AB">
            <w:pPr>
              <w:rPr>
                <w:rFonts w:asciiTheme="majorHAnsi" w:hAnsiTheme="majorHAnsi" w:cstheme="majorHAnsi"/>
                <w:noProof w:val="0"/>
                <w:sz w:val="16"/>
                <w:szCs w:val="16"/>
              </w:rPr>
            </w:pPr>
            <w:r w:rsidRPr="004E517D">
              <w:rPr>
                <w:rFonts w:asciiTheme="majorHAnsi" w:hAnsiTheme="majorHAnsi" w:cstheme="majorHAnsi"/>
                <w:noProof w:val="0"/>
                <w:sz w:val="16"/>
                <w:szCs w:val="16"/>
              </w:rPr>
              <w:t>CDB has screened and classified all subprojects according to the project classification matrix agreed to with IDB.</w:t>
            </w:r>
          </w:p>
        </w:tc>
        <w:tc>
          <w:tcPr>
            <w:tcW w:w="990" w:type="dxa"/>
            <w:vAlign w:val="center"/>
          </w:tcPr>
          <w:p w14:paraId="7A8C03B6" w14:textId="25FEAE74" w:rsidR="00C55687" w:rsidRPr="004E517D" w:rsidRDefault="00503F08" w:rsidP="00C55687">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CDB</w:t>
            </w:r>
          </w:p>
        </w:tc>
        <w:tc>
          <w:tcPr>
            <w:tcW w:w="990" w:type="dxa"/>
            <w:vAlign w:val="center"/>
          </w:tcPr>
          <w:p w14:paraId="68774CFC" w14:textId="36774C4B" w:rsidR="00C55687" w:rsidRPr="004E517D" w:rsidRDefault="00503F08"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43D140BB" w14:textId="19B69CE9" w:rsidR="00C55687" w:rsidRPr="004E517D" w:rsidRDefault="00782B2A"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710" w:type="dxa"/>
            <w:vAlign w:val="center"/>
          </w:tcPr>
          <w:p w14:paraId="4DAD0FF6" w14:textId="5583F6E3" w:rsidR="00C55687" w:rsidRPr="004E517D" w:rsidRDefault="00A41ECF"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034A3BE5" w14:textId="0DAE4AF3" w:rsidR="00C55687" w:rsidRPr="004E517D" w:rsidRDefault="00782B2A"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w:t>
            </w:r>
          </w:p>
        </w:tc>
      </w:tr>
      <w:tr w:rsidR="00BD1337" w:rsidRPr="004F0961" w14:paraId="16B94512" w14:textId="77777777" w:rsidTr="00C7459E">
        <w:trPr>
          <w:trHeight w:val="710"/>
          <w:jc w:val="center"/>
        </w:trPr>
        <w:tc>
          <w:tcPr>
            <w:tcW w:w="1165" w:type="dxa"/>
            <w:vMerge w:val="restart"/>
            <w:vAlign w:val="center"/>
          </w:tcPr>
          <w:p w14:paraId="5BAD6FAF" w14:textId="418079E1" w:rsidR="00BD1337" w:rsidRPr="004E517D" w:rsidRDefault="00E52719"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10/15/2020</w:t>
            </w:r>
          </w:p>
        </w:tc>
        <w:tc>
          <w:tcPr>
            <w:tcW w:w="1170" w:type="dxa"/>
            <w:vMerge w:val="restart"/>
            <w:vAlign w:val="center"/>
          </w:tcPr>
          <w:p w14:paraId="27A27D7E" w14:textId="2ED1F7FB" w:rsidR="00BD1337" w:rsidRPr="004E517D" w:rsidRDefault="00BD1337"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OP-703: B.4 Other Risk Factors</w:t>
            </w:r>
          </w:p>
        </w:tc>
        <w:tc>
          <w:tcPr>
            <w:tcW w:w="1440" w:type="dxa"/>
            <w:vAlign w:val="center"/>
          </w:tcPr>
          <w:p w14:paraId="1FB51A59" w14:textId="7C777EE3" w:rsidR="00BD1337" w:rsidRPr="004E517D" w:rsidRDefault="00BD1337"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Institutional Capacity</w:t>
            </w:r>
          </w:p>
        </w:tc>
        <w:tc>
          <w:tcPr>
            <w:tcW w:w="3330" w:type="dxa"/>
            <w:vAlign w:val="center"/>
          </w:tcPr>
          <w:p w14:paraId="01C09E6E" w14:textId="1E8955FB" w:rsidR="00BD1337" w:rsidRPr="004E517D" w:rsidRDefault="00BD1337" w:rsidP="00C621AB">
            <w:pPr>
              <w:rPr>
                <w:rFonts w:asciiTheme="majorHAnsi" w:hAnsiTheme="majorHAnsi" w:cstheme="majorHAnsi"/>
                <w:noProof w:val="0"/>
                <w:sz w:val="16"/>
                <w:szCs w:val="16"/>
              </w:rPr>
            </w:pPr>
            <w:r w:rsidRPr="004E517D">
              <w:rPr>
                <w:rFonts w:asciiTheme="majorHAnsi" w:hAnsiTheme="majorHAnsi" w:cstheme="majorHAnsi"/>
                <w:noProof w:val="0"/>
                <w:sz w:val="16"/>
                <w:szCs w:val="16"/>
              </w:rPr>
              <w:t>Whereas CDB´s existing expertise on managing environmental and social (E&amp;S) issues is well defined across sectors, the E&amp;S specialists have not yet gained experience in the issues specific to geothermal (only one project in execution), such as</w:t>
            </w:r>
            <w:r w:rsidRPr="004E517D">
              <w:t xml:space="preserve"> </w:t>
            </w:r>
            <w:r w:rsidRPr="004E517D">
              <w:rPr>
                <w:rFonts w:asciiTheme="majorHAnsi" w:hAnsiTheme="majorHAnsi" w:cstheme="majorHAnsi"/>
                <w:noProof w:val="0"/>
                <w:sz w:val="16"/>
                <w:szCs w:val="16"/>
              </w:rPr>
              <w:t>hazardous materials, water contamination, water consumption, micro</w:t>
            </w:r>
            <w:r>
              <w:rPr>
                <w:rFonts w:asciiTheme="majorHAnsi" w:hAnsiTheme="majorHAnsi" w:cstheme="majorHAnsi"/>
                <w:noProof w:val="0"/>
                <w:sz w:val="16"/>
                <w:szCs w:val="16"/>
              </w:rPr>
              <w:t>-</w:t>
            </w:r>
            <w:r w:rsidRPr="004E517D">
              <w:rPr>
                <w:rFonts w:asciiTheme="majorHAnsi" w:hAnsiTheme="majorHAnsi" w:cstheme="majorHAnsi"/>
                <w:noProof w:val="0"/>
                <w:sz w:val="16"/>
                <w:szCs w:val="16"/>
              </w:rPr>
              <w:t xml:space="preserve">seismicity, and details specific to geothermal engineering. Additionally, review times by E&amp;S staff are </w:t>
            </w:r>
            <w:r w:rsidR="00106B61">
              <w:rPr>
                <w:rFonts w:asciiTheme="majorHAnsi" w:hAnsiTheme="majorHAnsi" w:cstheme="majorHAnsi"/>
                <w:noProof w:val="0"/>
                <w:sz w:val="16"/>
                <w:szCs w:val="16"/>
              </w:rPr>
              <w:t xml:space="preserve">often </w:t>
            </w:r>
            <w:r w:rsidRPr="004E517D">
              <w:rPr>
                <w:rFonts w:asciiTheme="majorHAnsi" w:hAnsiTheme="majorHAnsi" w:cstheme="majorHAnsi"/>
                <w:noProof w:val="0"/>
                <w:sz w:val="16"/>
                <w:szCs w:val="16"/>
              </w:rPr>
              <w:t xml:space="preserve">very slow. </w:t>
            </w:r>
            <w:r w:rsidR="00106B61">
              <w:rPr>
                <w:rFonts w:asciiTheme="majorHAnsi" w:hAnsiTheme="majorHAnsi" w:cstheme="majorHAnsi"/>
                <w:noProof w:val="0"/>
                <w:sz w:val="16"/>
                <w:szCs w:val="16"/>
              </w:rPr>
              <w:t xml:space="preserve">Different CDB E&amp;S teams work on different projects, since CDB assigns specialists by country; as a result, projects have different response times and engagement levels. </w:t>
            </w:r>
          </w:p>
        </w:tc>
        <w:tc>
          <w:tcPr>
            <w:tcW w:w="990" w:type="dxa"/>
            <w:vAlign w:val="center"/>
          </w:tcPr>
          <w:p w14:paraId="558A8A1F" w14:textId="7527CA0D" w:rsidR="00BD1337" w:rsidRPr="004E517D" w:rsidRDefault="00BD1337" w:rsidP="00C55687">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CDB</w:t>
            </w:r>
          </w:p>
        </w:tc>
        <w:tc>
          <w:tcPr>
            <w:tcW w:w="990" w:type="dxa"/>
            <w:vAlign w:val="center"/>
          </w:tcPr>
          <w:p w14:paraId="3EE1AEE4" w14:textId="4F796182" w:rsidR="00BD1337" w:rsidRPr="004E517D" w:rsidRDefault="00BD1337"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TBD</w:t>
            </w:r>
          </w:p>
        </w:tc>
        <w:tc>
          <w:tcPr>
            <w:tcW w:w="1080" w:type="dxa"/>
            <w:vAlign w:val="center"/>
          </w:tcPr>
          <w:p w14:paraId="72FF3352" w14:textId="3FEFCEE4" w:rsidR="00BD1337" w:rsidRPr="004E517D" w:rsidRDefault="006F3FEC"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N/A</w:t>
            </w:r>
          </w:p>
        </w:tc>
        <w:tc>
          <w:tcPr>
            <w:tcW w:w="1710" w:type="dxa"/>
            <w:vAlign w:val="center"/>
          </w:tcPr>
          <w:p w14:paraId="4360D078" w14:textId="11223D65" w:rsidR="00BD1337" w:rsidRPr="004E517D" w:rsidRDefault="00BD1337"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742A52D9" w14:textId="6F192773" w:rsidR="00BD1337" w:rsidRPr="004E517D" w:rsidRDefault="00BD1337"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PS</w:t>
            </w:r>
          </w:p>
        </w:tc>
      </w:tr>
      <w:tr w:rsidR="00BD1337" w:rsidRPr="004F0961" w14:paraId="3CA80096" w14:textId="77777777" w:rsidTr="00EE7D49">
        <w:trPr>
          <w:trHeight w:val="710"/>
          <w:jc w:val="center"/>
        </w:trPr>
        <w:tc>
          <w:tcPr>
            <w:tcW w:w="1165" w:type="dxa"/>
            <w:vMerge/>
            <w:vAlign w:val="center"/>
          </w:tcPr>
          <w:p w14:paraId="07E7DF11" w14:textId="77777777" w:rsidR="00BD1337" w:rsidRPr="004E517D" w:rsidRDefault="00BD1337" w:rsidP="00C55687">
            <w:pPr>
              <w:jc w:val="center"/>
              <w:rPr>
                <w:rFonts w:asciiTheme="majorHAnsi" w:hAnsiTheme="majorHAnsi" w:cstheme="majorHAnsi"/>
                <w:noProof w:val="0"/>
                <w:sz w:val="16"/>
                <w:szCs w:val="16"/>
              </w:rPr>
            </w:pPr>
          </w:p>
        </w:tc>
        <w:tc>
          <w:tcPr>
            <w:tcW w:w="1170" w:type="dxa"/>
            <w:vMerge/>
            <w:vAlign w:val="center"/>
          </w:tcPr>
          <w:p w14:paraId="65654BDE" w14:textId="77777777" w:rsidR="00BD1337" w:rsidRPr="004E517D" w:rsidRDefault="00BD1337" w:rsidP="00C55687">
            <w:pPr>
              <w:jc w:val="center"/>
              <w:rPr>
                <w:rFonts w:asciiTheme="majorHAnsi" w:hAnsiTheme="majorHAnsi" w:cstheme="majorHAnsi"/>
                <w:noProof w:val="0"/>
                <w:sz w:val="16"/>
                <w:szCs w:val="16"/>
              </w:rPr>
            </w:pPr>
          </w:p>
        </w:tc>
        <w:tc>
          <w:tcPr>
            <w:tcW w:w="1440" w:type="dxa"/>
            <w:vAlign w:val="center"/>
          </w:tcPr>
          <w:p w14:paraId="7A1C626E" w14:textId="13171868" w:rsidR="00BD1337" w:rsidRPr="004E517D" w:rsidRDefault="00BD1337"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 xml:space="preserve">Unintended Risks </w:t>
            </w:r>
          </w:p>
        </w:tc>
        <w:tc>
          <w:tcPr>
            <w:tcW w:w="3330" w:type="dxa"/>
            <w:vAlign w:val="center"/>
          </w:tcPr>
          <w:p w14:paraId="2DF90D8C" w14:textId="602B2103" w:rsidR="00BD1337" w:rsidRPr="004E517D" w:rsidRDefault="00BD1337" w:rsidP="00C621AB">
            <w:pPr>
              <w:rPr>
                <w:rFonts w:asciiTheme="majorHAnsi" w:hAnsiTheme="majorHAnsi" w:cstheme="majorHAnsi"/>
                <w:noProof w:val="0"/>
                <w:sz w:val="16"/>
                <w:szCs w:val="16"/>
              </w:rPr>
            </w:pPr>
            <w:r>
              <w:rPr>
                <w:rFonts w:asciiTheme="majorHAnsi" w:hAnsiTheme="majorHAnsi" w:cstheme="majorHAnsi"/>
                <w:noProof w:val="0"/>
                <w:sz w:val="16"/>
                <w:szCs w:val="16"/>
              </w:rPr>
              <w:t xml:space="preserve">St. Vincent: safety and security at recreational dam, created by dam/pump station. </w:t>
            </w:r>
            <w:r w:rsidR="006F3FEC">
              <w:rPr>
                <w:rFonts w:asciiTheme="majorHAnsi" w:hAnsiTheme="majorHAnsi" w:cstheme="majorHAnsi"/>
                <w:noProof w:val="0"/>
                <w:sz w:val="16"/>
                <w:szCs w:val="16"/>
              </w:rPr>
              <w:t xml:space="preserve"> </w:t>
            </w:r>
            <w:r w:rsidR="006F3FEC" w:rsidRPr="00B20D75">
              <w:rPr>
                <w:sz w:val="16"/>
                <w:szCs w:val="16"/>
              </w:rPr>
              <w:t>Before exit, SVGCL should attempt to secure joint ownership of dam by National Parks and Forestry</w:t>
            </w:r>
            <w:r w:rsidR="00CE649A">
              <w:rPr>
                <w:sz w:val="16"/>
                <w:szCs w:val="16"/>
              </w:rPr>
              <w:t xml:space="preserve"> Department. </w:t>
            </w:r>
            <w:r w:rsidR="006F3FEC" w:rsidRPr="00B20D75">
              <w:rPr>
                <w:sz w:val="16"/>
                <w:szCs w:val="16"/>
              </w:rPr>
              <w:t>Due to COVID, notice was placed barring social gatherings at the Rabacca dam recreation area.</w:t>
            </w:r>
          </w:p>
        </w:tc>
        <w:tc>
          <w:tcPr>
            <w:tcW w:w="990" w:type="dxa"/>
            <w:vAlign w:val="center"/>
          </w:tcPr>
          <w:p w14:paraId="468989CD" w14:textId="2C358602" w:rsidR="00BD1337" w:rsidRPr="004E517D" w:rsidRDefault="00BD1337" w:rsidP="00C55687">
            <w:pPr>
              <w:jc w:val="center"/>
              <w:rPr>
                <w:rFonts w:asciiTheme="majorHAnsi" w:hAnsiTheme="majorHAnsi" w:cstheme="majorHAnsi"/>
                <w:b/>
                <w:noProof w:val="0"/>
                <w:sz w:val="16"/>
                <w:szCs w:val="16"/>
              </w:rPr>
            </w:pPr>
            <w:r>
              <w:rPr>
                <w:rFonts w:asciiTheme="majorHAnsi" w:hAnsiTheme="majorHAnsi" w:cstheme="majorHAnsi"/>
                <w:b/>
                <w:noProof w:val="0"/>
                <w:sz w:val="16"/>
                <w:szCs w:val="16"/>
              </w:rPr>
              <w:t>CDB/SVGCL</w:t>
            </w:r>
          </w:p>
        </w:tc>
        <w:tc>
          <w:tcPr>
            <w:tcW w:w="990" w:type="dxa"/>
            <w:vAlign w:val="center"/>
          </w:tcPr>
          <w:p w14:paraId="2578646D" w14:textId="6333225A" w:rsidR="00BD1337" w:rsidRPr="004E517D" w:rsidRDefault="00E52719"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before closing</w:t>
            </w:r>
          </w:p>
        </w:tc>
        <w:tc>
          <w:tcPr>
            <w:tcW w:w="1080" w:type="dxa"/>
            <w:vAlign w:val="center"/>
          </w:tcPr>
          <w:p w14:paraId="16B1731B" w14:textId="7FB96F2A" w:rsidR="00BD1337" w:rsidRPr="004E517D" w:rsidRDefault="00BD1337"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SVGCL Monitoring Report</w:t>
            </w:r>
            <w:r w:rsidR="00E52719">
              <w:rPr>
                <w:rFonts w:asciiTheme="majorHAnsi" w:hAnsiTheme="majorHAnsi" w:cstheme="majorHAnsi"/>
                <w:noProof w:val="0"/>
                <w:sz w:val="16"/>
                <w:szCs w:val="16"/>
              </w:rPr>
              <w:t>, ESHS Plans for closure</w:t>
            </w:r>
          </w:p>
        </w:tc>
        <w:tc>
          <w:tcPr>
            <w:tcW w:w="1710" w:type="dxa"/>
            <w:vAlign w:val="center"/>
          </w:tcPr>
          <w:p w14:paraId="30998D8E" w14:textId="2AED240A" w:rsidR="00BD1337" w:rsidRPr="004E517D" w:rsidRDefault="00BD1337" w:rsidP="00C55687">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0DD843A6" w14:textId="668C60F5" w:rsidR="00BD1337" w:rsidRPr="004E517D" w:rsidRDefault="00BD1337"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PS</w:t>
            </w:r>
          </w:p>
        </w:tc>
      </w:tr>
      <w:tr w:rsidR="00BD1337" w:rsidRPr="004F0961" w14:paraId="14E05E76" w14:textId="77777777" w:rsidTr="00EE7D49">
        <w:trPr>
          <w:trHeight w:val="710"/>
          <w:jc w:val="center"/>
        </w:trPr>
        <w:tc>
          <w:tcPr>
            <w:tcW w:w="1165" w:type="dxa"/>
            <w:vMerge/>
            <w:vAlign w:val="center"/>
          </w:tcPr>
          <w:p w14:paraId="3D33C6AE" w14:textId="77777777" w:rsidR="00BD1337" w:rsidRPr="004E517D" w:rsidRDefault="00BD1337" w:rsidP="00C55687">
            <w:pPr>
              <w:jc w:val="center"/>
              <w:rPr>
                <w:rFonts w:asciiTheme="majorHAnsi" w:hAnsiTheme="majorHAnsi" w:cstheme="majorHAnsi"/>
                <w:noProof w:val="0"/>
                <w:sz w:val="16"/>
                <w:szCs w:val="16"/>
              </w:rPr>
            </w:pPr>
          </w:p>
        </w:tc>
        <w:tc>
          <w:tcPr>
            <w:tcW w:w="1170" w:type="dxa"/>
            <w:vMerge/>
            <w:vAlign w:val="center"/>
          </w:tcPr>
          <w:p w14:paraId="0659CA32" w14:textId="77777777" w:rsidR="00BD1337" w:rsidRPr="004E517D" w:rsidRDefault="00BD1337" w:rsidP="00C55687">
            <w:pPr>
              <w:jc w:val="center"/>
              <w:rPr>
                <w:rFonts w:asciiTheme="majorHAnsi" w:hAnsiTheme="majorHAnsi" w:cstheme="majorHAnsi"/>
                <w:noProof w:val="0"/>
                <w:sz w:val="16"/>
                <w:szCs w:val="16"/>
              </w:rPr>
            </w:pPr>
          </w:p>
        </w:tc>
        <w:tc>
          <w:tcPr>
            <w:tcW w:w="1440" w:type="dxa"/>
            <w:vAlign w:val="center"/>
          </w:tcPr>
          <w:p w14:paraId="3DAE907E" w14:textId="6513F3AE" w:rsidR="00BD1337" w:rsidRDefault="00BD1337"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Erosion</w:t>
            </w:r>
          </w:p>
        </w:tc>
        <w:tc>
          <w:tcPr>
            <w:tcW w:w="3330" w:type="dxa"/>
            <w:vAlign w:val="center"/>
          </w:tcPr>
          <w:p w14:paraId="6CEA11AE" w14:textId="5A0A3CA1" w:rsidR="00BD1337" w:rsidRDefault="00BD1337" w:rsidP="00C621AB">
            <w:pPr>
              <w:rPr>
                <w:rFonts w:asciiTheme="majorHAnsi" w:hAnsiTheme="majorHAnsi" w:cstheme="majorHAnsi"/>
                <w:noProof w:val="0"/>
                <w:sz w:val="16"/>
                <w:szCs w:val="16"/>
              </w:rPr>
            </w:pPr>
            <w:r>
              <w:rPr>
                <w:rFonts w:asciiTheme="majorHAnsi" w:hAnsiTheme="majorHAnsi" w:cstheme="majorHAnsi"/>
                <w:noProof w:val="0"/>
                <w:sz w:val="16"/>
                <w:szCs w:val="16"/>
              </w:rPr>
              <w:t xml:space="preserve">St. Vincent: </w:t>
            </w:r>
            <w:r w:rsidR="00CE649A">
              <w:rPr>
                <w:rFonts w:asciiTheme="majorHAnsi" w:hAnsiTheme="majorHAnsi" w:cstheme="majorHAnsi"/>
                <w:noProof w:val="0"/>
                <w:sz w:val="16"/>
                <w:szCs w:val="16"/>
              </w:rPr>
              <w:t>upper slopes were revegetated by a private company hired by SVGCL, given that the Forestry Department had not yet mobilized the resources to carry it out.</w:t>
            </w:r>
          </w:p>
        </w:tc>
        <w:tc>
          <w:tcPr>
            <w:tcW w:w="990" w:type="dxa"/>
            <w:vAlign w:val="center"/>
          </w:tcPr>
          <w:p w14:paraId="6AB52D3B" w14:textId="4E731CC0" w:rsidR="00BD1337" w:rsidRDefault="00BD1337" w:rsidP="00C55687">
            <w:pPr>
              <w:jc w:val="center"/>
              <w:rPr>
                <w:rFonts w:asciiTheme="majorHAnsi" w:hAnsiTheme="majorHAnsi" w:cstheme="majorHAnsi"/>
                <w:b/>
                <w:noProof w:val="0"/>
                <w:sz w:val="16"/>
                <w:szCs w:val="16"/>
              </w:rPr>
            </w:pPr>
            <w:r>
              <w:rPr>
                <w:rFonts w:asciiTheme="majorHAnsi" w:hAnsiTheme="majorHAnsi" w:cstheme="majorHAnsi"/>
                <w:b/>
                <w:noProof w:val="0"/>
                <w:sz w:val="16"/>
                <w:szCs w:val="16"/>
              </w:rPr>
              <w:t>SVGCL</w:t>
            </w:r>
          </w:p>
        </w:tc>
        <w:tc>
          <w:tcPr>
            <w:tcW w:w="990" w:type="dxa"/>
            <w:vAlign w:val="center"/>
          </w:tcPr>
          <w:p w14:paraId="4395155D" w14:textId="624F73A0" w:rsidR="00BD1337" w:rsidRPr="004E517D" w:rsidRDefault="00CE649A"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N/A</w:t>
            </w:r>
          </w:p>
        </w:tc>
        <w:tc>
          <w:tcPr>
            <w:tcW w:w="1080" w:type="dxa"/>
            <w:vAlign w:val="center"/>
          </w:tcPr>
          <w:p w14:paraId="49615DF6" w14:textId="18C69777" w:rsidR="00BD1337" w:rsidRPr="004E517D" w:rsidRDefault="00BD1337"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SVGCL Monitoring Report</w:t>
            </w:r>
          </w:p>
        </w:tc>
        <w:tc>
          <w:tcPr>
            <w:tcW w:w="1710" w:type="dxa"/>
            <w:vAlign w:val="center"/>
          </w:tcPr>
          <w:p w14:paraId="375E83A7" w14:textId="1D13B6FD" w:rsidR="00BD1337" w:rsidRPr="004E517D" w:rsidRDefault="00CE649A"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Completed</w:t>
            </w:r>
          </w:p>
        </w:tc>
        <w:tc>
          <w:tcPr>
            <w:tcW w:w="1080" w:type="dxa"/>
            <w:vAlign w:val="center"/>
          </w:tcPr>
          <w:p w14:paraId="3FED7CFA" w14:textId="185FD70A" w:rsidR="00BD1337" w:rsidRPr="004E517D" w:rsidRDefault="00106B61" w:rsidP="00C55687">
            <w:pPr>
              <w:jc w:val="center"/>
              <w:rPr>
                <w:rFonts w:asciiTheme="majorHAnsi" w:hAnsiTheme="majorHAnsi" w:cstheme="majorHAnsi"/>
                <w:noProof w:val="0"/>
                <w:sz w:val="16"/>
                <w:szCs w:val="16"/>
              </w:rPr>
            </w:pPr>
            <w:r>
              <w:rPr>
                <w:rFonts w:asciiTheme="majorHAnsi" w:hAnsiTheme="majorHAnsi" w:cstheme="majorHAnsi"/>
                <w:noProof w:val="0"/>
                <w:sz w:val="16"/>
                <w:szCs w:val="16"/>
              </w:rPr>
              <w:t>S</w:t>
            </w:r>
          </w:p>
        </w:tc>
      </w:tr>
      <w:tr w:rsidR="00557B81" w:rsidRPr="004F0961" w14:paraId="0B28FA05" w14:textId="77777777" w:rsidTr="002169E7">
        <w:trPr>
          <w:trHeight w:val="620"/>
          <w:jc w:val="center"/>
        </w:trPr>
        <w:tc>
          <w:tcPr>
            <w:tcW w:w="1165" w:type="dxa"/>
            <w:vMerge w:val="restart"/>
            <w:vAlign w:val="center"/>
          </w:tcPr>
          <w:p w14:paraId="49E17D55" w14:textId="55C4DFE0" w:rsidR="00557B81" w:rsidRPr="004E517D" w:rsidRDefault="00557B81" w:rsidP="001B41B4">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10/</w:t>
            </w:r>
            <w:r>
              <w:rPr>
                <w:rFonts w:asciiTheme="majorHAnsi" w:hAnsiTheme="majorHAnsi" w:cstheme="majorHAnsi"/>
                <w:noProof w:val="0"/>
                <w:sz w:val="16"/>
                <w:szCs w:val="16"/>
              </w:rPr>
              <w:t>1</w:t>
            </w:r>
            <w:r w:rsidRPr="004E517D">
              <w:rPr>
                <w:rFonts w:asciiTheme="majorHAnsi" w:hAnsiTheme="majorHAnsi" w:cstheme="majorHAnsi"/>
                <w:noProof w:val="0"/>
                <w:sz w:val="16"/>
                <w:szCs w:val="16"/>
              </w:rPr>
              <w:t>5/20</w:t>
            </w:r>
            <w:r>
              <w:rPr>
                <w:rFonts w:asciiTheme="majorHAnsi" w:hAnsiTheme="majorHAnsi" w:cstheme="majorHAnsi"/>
                <w:noProof w:val="0"/>
                <w:sz w:val="16"/>
                <w:szCs w:val="16"/>
              </w:rPr>
              <w:t>20</w:t>
            </w:r>
          </w:p>
        </w:tc>
        <w:tc>
          <w:tcPr>
            <w:tcW w:w="1170" w:type="dxa"/>
            <w:vMerge w:val="restart"/>
            <w:vAlign w:val="center"/>
          </w:tcPr>
          <w:p w14:paraId="73E2A310" w14:textId="764165A6" w:rsidR="00557B81" w:rsidRPr="004E517D" w:rsidRDefault="00557B81" w:rsidP="00F1273D">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OP-703: B.5 Environmental and Social</w:t>
            </w:r>
          </w:p>
          <w:p w14:paraId="52A23B97" w14:textId="0F90E211" w:rsidR="00557B81" w:rsidRPr="004E517D" w:rsidRDefault="00557B81" w:rsidP="00F1273D">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Assessment </w:t>
            </w:r>
          </w:p>
          <w:p w14:paraId="6A92100D" w14:textId="34D4EECA" w:rsidR="00557B81" w:rsidRPr="004E517D" w:rsidRDefault="00557B81" w:rsidP="00F1273D">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Requirements</w:t>
            </w:r>
          </w:p>
        </w:tc>
        <w:tc>
          <w:tcPr>
            <w:tcW w:w="1440" w:type="dxa"/>
            <w:vMerge w:val="restart"/>
            <w:vAlign w:val="center"/>
          </w:tcPr>
          <w:p w14:paraId="007EAB54" w14:textId="2AF9EE39" w:rsidR="00557B81" w:rsidRPr="004E517D" w:rsidRDefault="00557B81" w:rsidP="001B41B4">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Assess ESHS impacts and risks of subprojects</w:t>
            </w:r>
          </w:p>
        </w:tc>
        <w:tc>
          <w:tcPr>
            <w:tcW w:w="3330" w:type="dxa"/>
            <w:vAlign w:val="center"/>
          </w:tcPr>
          <w:p w14:paraId="167F5883" w14:textId="703561D4" w:rsidR="00557B81" w:rsidRPr="004E517D" w:rsidRDefault="00557B81" w:rsidP="00C621AB">
            <w:pP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St. Vincent: The ESIA for St Vincent was prepared and completed in 2015. A resettlement plan </w:t>
            </w:r>
            <w:r>
              <w:rPr>
                <w:rFonts w:asciiTheme="majorHAnsi" w:hAnsiTheme="majorHAnsi" w:cstheme="majorHAnsi"/>
                <w:noProof w:val="0"/>
                <w:sz w:val="16"/>
                <w:szCs w:val="16"/>
              </w:rPr>
              <w:t xml:space="preserve">was </w:t>
            </w:r>
            <w:r w:rsidRPr="004E517D">
              <w:rPr>
                <w:rFonts w:asciiTheme="majorHAnsi" w:hAnsiTheme="majorHAnsi" w:cstheme="majorHAnsi"/>
                <w:noProof w:val="0"/>
                <w:sz w:val="16"/>
                <w:szCs w:val="16"/>
              </w:rPr>
              <w:t xml:space="preserve">implemented </w:t>
            </w:r>
            <w:r>
              <w:rPr>
                <w:rFonts w:asciiTheme="majorHAnsi" w:hAnsiTheme="majorHAnsi" w:cstheme="majorHAnsi"/>
                <w:noProof w:val="0"/>
                <w:sz w:val="16"/>
                <w:szCs w:val="16"/>
              </w:rPr>
              <w:t>with some shortcomings, which were addressed by SVGCL. See below under OP-710 E</w:t>
            </w:r>
            <w:r w:rsidRPr="004E517D">
              <w:rPr>
                <w:rFonts w:asciiTheme="majorHAnsi" w:hAnsiTheme="majorHAnsi" w:cstheme="majorHAnsi"/>
                <w:noProof w:val="0"/>
                <w:sz w:val="16"/>
                <w:szCs w:val="16"/>
              </w:rPr>
              <w:t xml:space="preserve">nvironmental </w:t>
            </w:r>
            <w:r w:rsidRPr="004E517D">
              <w:rPr>
                <w:rFonts w:asciiTheme="majorHAnsi" w:hAnsiTheme="majorHAnsi" w:cstheme="majorHAnsi"/>
                <w:noProof w:val="0"/>
                <w:sz w:val="16"/>
                <w:szCs w:val="16"/>
              </w:rPr>
              <w:lastRenderedPageBreak/>
              <w:t>monitoring in the ESMP ha</w:t>
            </w:r>
            <w:r>
              <w:rPr>
                <w:rFonts w:asciiTheme="majorHAnsi" w:hAnsiTheme="majorHAnsi" w:cstheme="majorHAnsi"/>
                <w:noProof w:val="0"/>
                <w:sz w:val="16"/>
                <w:szCs w:val="16"/>
              </w:rPr>
              <w:t>d</w:t>
            </w:r>
            <w:r w:rsidRPr="004E517D">
              <w:rPr>
                <w:rFonts w:asciiTheme="majorHAnsi" w:hAnsiTheme="majorHAnsi" w:cstheme="majorHAnsi"/>
                <w:noProof w:val="0"/>
                <w:sz w:val="16"/>
                <w:szCs w:val="16"/>
              </w:rPr>
              <w:t xml:space="preserve"> not been implemented fully. IDB recommend</w:t>
            </w:r>
            <w:r>
              <w:rPr>
                <w:rFonts w:asciiTheme="majorHAnsi" w:hAnsiTheme="majorHAnsi" w:cstheme="majorHAnsi"/>
                <w:noProof w:val="0"/>
                <w:sz w:val="16"/>
                <w:szCs w:val="16"/>
              </w:rPr>
              <w:t xml:space="preserve">ed (see the supervision report of October 2019) </w:t>
            </w:r>
            <w:r w:rsidRPr="004E517D">
              <w:rPr>
                <w:rFonts w:asciiTheme="majorHAnsi" w:hAnsiTheme="majorHAnsi" w:cstheme="majorHAnsi"/>
                <w:noProof w:val="0"/>
                <w:sz w:val="16"/>
                <w:szCs w:val="16"/>
              </w:rPr>
              <w:t>that CDB issue</w:t>
            </w:r>
            <w:r>
              <w:rPr>
                <w:rFonts w:asciiTheme="majorHAnsi" w:hAnsiTheme="majorHAnsi" w:cstheme="majorHAnsi"/>
                <w:noProof w:val="0"/>
                <w:sz w:val="16"/>
                <w:szCs w:val="16"/>
              </w:rPr>
              <w:t xml:space="preserve"> a</w:t>
            </w:r>
            <w:r w:rsidRPr="004E517D">
              <w:rPr>
                <w:rFonts w:asciiTheme="majorHAnsi" w:hAnsiTheme="majorHAnsi" w:cstheme="majorHAnsi"/>
                <w:noProof w:val="0"/>
                <w:sz w:val="16"/>
                <w:szCs w:val="16"/>
              </w:rPr>
              <w:t xml:space="preserve"> CAP to SVGCL requiring corrections by January 2020</w:t>
            </w:r>
            <w:r>
              <w:rPr>
                <w:rFonts w:asciiTheme="majorHAnsi" w:hAnsiTheme="majorHAnsi" w:cstheme="majorHAnsi"/>
                <w:noProof w:val="0"/>
                <w:sz w:val="16"/>
                <w:szCs w:val="16"/>
              </w:rPr>
              <w:t>. Due to closer follow up by IDB during 2020, and in collaboration with the CDB, the still outstanding issues were finally addressed (esp. water quality analysis)</w:t>
            </w:r>
          </w:p>
        </w:tc>
        <w:tc>
          <w:tcPr>
            <w:tcW w:w="990" w:type="dxa"/>
            <w:vAlign w:val="center"/>
          </w:tcPr>
          <w:p w14:paraId="2E734666" w14:textId="135F5178" w:rsidR="00557B81" w:rsidRPr="004E517D" w:rsidRDefault="00557B81" w:rsidP="00AF6688">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lastRenderedPageBreak/>
              <w:t>CDB/SVGCL</w:t>
            </w:r>
          </w:p>
        </w:tc>
        <w:tc>
          <w:tcPr>
            <w:tcW w:w="990" w:type="dxa"/>
            <w:vAlign w:val="center"/>
          </w:tcPr>
          <w:p w14:paraId="17608DDD" w14:textId="016A8CAE" w:rsidR="00557B81" w:rsidRPr="004E517D" w:rsidRDefault="00557B81" w:rsidP="001B41B4">
            <w:pPr>
              <w:jc w:val="center"/>
              <w:rPr>
                <w:rFonts w:asciiTheme="majorHAnsi" w:hAnsiTheme="majorHAnsi" w:cstheme="majorHAnsi"/>
                <w:noProof w:val="0"/>
                <w:sz w:val="16"/>
                <w:szCs w:val="16"/>
              </w:rPr>
            </w:pPr>
            <w:r>
              <w:rPr>
                <w:rFonts w:asciiTheme="majorHAnsi" w:hAnsiTheme="majorHAnsi" w:cstheme="majorHAnsi"/>
                <w:noProof w:val="0"/>
                <w:sz w:val="16"/>
                <w:szCs w:val="16"/>
              </w:rPr>
              <w:t>N/A</w:t>
            </w:r>
          </w:p>
        </w:tc>
        <w:tc>
          <w:tcPr>
            <w:tcW w:w="1080" w:type="dxa"/>
            <w:vAlign w:val="center"/>
          </w:tcPr>
          <w:p w14:paraId="6E2F0819" w14:textId="707D4FF3" w:rsidR="00557B81" w:rsidRPr="00557C0B" w:rsidRDefault="00557B81" w:rsidP="001B41B4">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SVGCL Reports </w:t>
            </w:r>
          </w:p>
        </w:tc>
        <w:tc>
          <w:tcPr>
            <w:tcW w:w="1710" w:type="dxa"/>
            <w:vAlign w:val="center"/>
          </w:tcPr>
          <w:p w14:paraId="1D56A11B" w14:textId="12710967" w:rsidR="00557B81" w:rsidRPr="004E517D" w:rsidRDefault="00557B81" w:rsidP="001B41B4">
            <w:pPr>
              <w:jc w:val="center"/>
              <w:rPr>
                <w:rFonts w:asciiTheme="majorHAnsi" w:hAnsiTheme="majorHAnsi" w:cstheme="majorHAnsi"/>
                <w:noProof w:val="0"/>
                <w:sz w:val="16"/>
                <w:szCs w:val="16"/>
              </w:rPr>
            </w:pPr>
            <w:r>
              <w:rPr>
                <w:rFonts w:asciiTheme="majorHAnsi" w:hAnsiTheme="majorHAnsi" w:cstheme="majorHAnsi"/>
                <w:noProof w:val="0"/>
                <w:sz w:val="16"/>
                <w:szCs w:val="16"/>
              </w:rPr>
              <w:t>Ongoing</w:t>
            </w:r>
          </w:p>
        </w:tc>
        <w:tc>
          <w:tcPr>
            <w:tcW w:w="1080" w:type="dxa"/>
            <w:vAlign w:val="center"/>
          </w:tcPr>
          <w:p w14:paraId="1F6F47FA" w14:textId="15826C18" w:rsidR="00557B81" w:rsidRPr="004E517D" w:rsidRDefault="00557B81" w:rsidP="001B41B4">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w:t>
            </w:r>
          </w:p>
        </w:tc>
      </w:tr>
      <w:tr w:rsidR="00557B81" w:rsidRPr="004F0961" w14:paraId="41A1B97C" w14:textId="77777777" w:rsidTr="002169E7">
        <w:trPr>
          <w:trHeight w:val="620"/>
          <w:jc w:val="center"/>
        </w:trPr>
        <w:tc>
          <w:tcPr>
            <w:tcW w:w="1165" w:type="dxa"/>
            <w:vMerge/>
            <w:vAlign w:val="center"/>
          </w:tcPr>
          <w:p w14:paraId="36BCC4E4" w14:textId="77777777" w:rsidR="00557B81" w:rsidRPr="004E517D" w:rsidRDefault="00557B81" w:rsidP="001B41B4">
            <w:pPr>
              <w:jc w:val="center"/>
              <w:rPr>
                <w:rFonts w:asciiTheme="majorHAnsi" w:hAnsiTheme="majorHAnsi" w:cstheme="majorHAnsi"/>
                <w:noProof w:val="0"/>
                <w:sz w:val="16"/>
                <w:szCs w:val="16"/>
              </w:rPr>
            </w:pPr>
          </w:p>
        </w:tc>
        <w:tc>
          <w:tcPr>
            <w:tcW w:w="1170" w:type="dxa"/>
            <w:vMerge/>
            <w:vAlign w:val="center"/>
          </w:tcPr>
          <w:p w14:paraId="02DA221E" w14:textId="77777777" w:rsidR="00557B81" w:rsidRPr="009C25A5" w:rsidRDefault="00557B81" w:rsidP="00F1273D">
            <w:pPr>
              <w:jc w:val="center"/>
              <w:rPr>
                <w:rFonts w:asciiTheme="majorHAnsi" w:hAnsiTheme="majorHAnsi" w:cstheme="majorHAnsi"/>
                <w:noProof w:val="0"/>
                <w:sz w:val="16"/>
                <w:szCs w:val="16"/>
              </w:rPr>
            </w:pPr>
          </w:p>
        </w:tc>
        <w:tc>
          <w:tcPr>
            <w:tcW w:w="1440" w:type="dxa"/>
            <w:vMerge/>
            <w:vAlign w:val="center"/>
          </w:tcPr>
          <w:p w14:paraId="055B90B9" w14:textId="77777777" w:rsidR="00557B81" w:rsidRPr="009C25A5" w:rsidRDefault="00557B81" w:rsidP="001B41B4">
            <w:pPr>
              <w:jc w:val="center"/>
              <w:rPr>
                <w:rFonts w:asciiTheme="majorHAnsi" w:hAnsiTheme="majorHAnsi" w:cstheme="majorHAnsi"/>
                <w:noProof w:val="0"/>
                <w:sz w:val="16"/>
                <w:szCs w:val="16"/>
              </w:rPr>
            </w:pPr>
          </w:p>
        </w:tc>
        <w:tc>
          <w:tcPr>
            <w:tcW w:w="3330" w:type="dxa"/>
            <w:vAlign w:val="center"/>
          </w:tcPr>
          <w:p w14:paraId="24CBC90D" w14:textId="66A048E3" w:rsidR="00557B81" w:rsidRPr="004E517D" w:rsidRDefault="00557B81" w:rsidP="00C621AB">
            <w:pPr>
              <w:rPr>
                <w:rFonts w:asciiTheme="majorHAnsi" w:hAnsiTheme="majorHAnsi" w:cstheme="majorHAnsi"/>
                <w:noProof w:val="0"/>
                <w:sz w:val="16"/>
                <w:szCs w:val="16"/>
              </w:rPr>
            </w:pPr>
            <w:r w:rsidRPr="009C25A5">
              <w:rPr>
                <w:rFonts w:asciiTheme="majorHAnsi" w:hAnsiTheme="majorHAnsi" w:cstheme="majorHAnsi"/>
                <w:noProof w:val="0"/>
                <w:sz w:val="16"/>
                <w:szCs w:val="16"/>
              </w:rPr>
              <w:t xml:space="preserve">Nevis: There </w:t>
            </w:r>
            <w:r>
              <w:rPr>
                <w:rFonts w:asciiTheme="majorHAnsi" w:hAnsiTheme="majorHAnsi" w:cstheme="majorHAnsi"/>
                <w:noProof w:val="0"/>
                <w:sz w:val="16"/>
                <w:szCs w:val="16"/>
              </w:rPr>
              <w:t>was</w:t>
            </w:r>
            <w:r w:rsidRPr="009C25A5">
              <w:rPr>
                <w:rFonts w:asciiTheme="majorHAnsi" w:hAnsiTheme="majorHAnsi" w:cstheme="majorHAnsi"/>
                <w:noProof w:val="0"/>
                <w:sz w:val="16"/>
                <w:szCs w:val="16"/>
              </w:rPr>
              <w:t xml:space="preserve"> an existing ESIA that is substandard. </w:t>
            </w:r>
            <w:r>
              <w:rPr>
                <w:rFonts w:asciiTheme="majorHAnsi" w:hAnsiTheme="majorHAnsi" w:cstheme="majorHAnsi"/>
                <w:noProof w:val="0"/>
                <w:sz w:val="16"/>
                <w:szCs w:val="16"/>
              </w:rPr>
              <w:t>A supplemental</w:t>
            </w:r>
            <w:r w:rsidRPr="009C25A5">
              <w:rPr>
                <w:rFonts w:asciiTheme="majorHAnsi" w:hAnsiTheme="majorHAnsi" w:cstheme="majorHAnsi"/>
                <w:noProof w:val="0"/>
                <w:sz w:val="16"/>
                <w:szCs w:val="16"/>
              </w:rPr>
              <w:t xml:space="preserve"> ESIA </w:t>
            </w:r>
            <w:r>
              <w:rPr>
                <w:rFonts w:asciiTheme="majorHAnsi" w:hAnsiTheme="majorHAnsi" w:cstheme="majorHAnsi"/>
                <w:noProof w:val="0"/>
                <w:sz w:val="16"/>
                <w:szCs w:val="16"/>
              </w:rPr>
              <w:t>is at the final stages of its preparation</w:t>
            </w:r>
            <w:r w:rsidRPr="009C25A5">
              <w:rPr>
                <w:rFonts w:asciiTheme="majorHAnsi" w:hAnsiTheme="majorHAnsi" w:cstheme="majorHAnsi"/>
                <w:noProof w:val="0"/>
                <w:sz w:val="16"/>
                <w:szCs w:val="16"/>
              </w:rPr>
              <w:t xml:space="preserve"> and </w:t>
            </w:r>
            <w:r>
              <w:rPr>
                <w:rFonts w:asciiTheme="majorHAnsi" w:hAnsiTheme="majorHAnsi" w:cstheme="majorHAnsi"/>
                <w:noProof w:val="0"/>
                <w:sz w:val="16"/>
                <w:szCs w:val="16"/>
              </w:rPr>
              <w:t xml:space="preserve">it will be </w:t>
            </w:r>
            <w:r w:rsidRPr="009C25A5">
              <w:rPr>
                <w:rFonts w:asciiTheme="majorHAnsi" w:hAnsiTheme="majorHAnsi" w:cstheme="majorHAnsi"/>
                <w:noProof w:val="0"/>
                <w:sz w:val="16"/>
                <w:szCs w:val="16"/>
              </w:rPr>
              <w:t>published before approvals sought.</w:t>
            </w:r>
            <w:r>
              <w:rPr>
                <w:rFonts w:asciiTheme="majorHAnsi" w:hAnsiTheme="majorHAnsi" w:cstheme="majorHAnsi"/>
                <w:noProof w:val="0"/>
                <w:sz w:val="16"/>
                <w:szCs w:val="16"/>
              </w:rPr>
              <w:t xml:space="preserve"> Virtual consultation is being planned due to Covid-19 pandemic.</w:t>
            </w:r>
          </w:p>
        </w:tc>
        <w:tc>
          <w:tcPr>
            <w:tcW w:w="990" w:type="dxa"/>
            <w:vAlign w:val="center"/>
          </w:tcPr>
          <w:p w14:paraId="38ECB8E7" w14:textId="23412081" w:rsidR="00557B81" w:rsidRPr="004E517D" w:rsidRDefault="00557B81" w:rsidP="001B41B4">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CDB/NREI</w:t>
            </w:r>
          </w:p>
        </w:tc>
        <w:tc>
          <w:tcPr>
            <w:tcW w:w="990" w:type="dxa"/>
            <w:vAlign w:val="center"/>
          </w:tcPr>
          <w:p w14:paraId="6C7E418E" w14:textId="2E19106C" w:rsidR="00557B81" w:rsidRPr="004E517D" w:rsidRDefault="00557B81" w:rsidP="001B41B4">
            <w:pPr>
              <w:jc w:val="center"/>
              <w:rPr>
                <w:rFonts w:asciiTheme="majorHAnsi" w:hAnsiTheme="majorHAnsi" w:cstheme="majorHAnsi"/>
                <w:noProof w:val="0"/>
                <w:sz w:val="16"/>
                <w:szCs w:val="16"/>
              </w:rPr>
            </w:pPr>
            <w:r>
              <w:rPr>
                <w:rFonts w:asciiTheme="majorHAnsi" w:hAnsiTheme="majorHAnsi" w:cstheme="majorHAnsi"/>
                <w:noProof w:val="0"/>
                <w:sz w:val="16"/>
                <w:szCs w:val="16"/>
              </w:rPr>
              <w:t>120</w:t>
            </w:r>
            <w:r w:rsidRPr="004E517D">
              <w:rPr>
                <w:rFonts w:asciiTheme="majorHAnsi" w:hAnsiTheme="majorHAnsi" w:cstheme="majorHAnsi"/>
                <w:noProof w:val="0"/>
                <w:sz w:val="16"/>
                <w:szCs w:val="16"/>
              </w:rPr>
              <w:t xml:space="preserve"> days prior to CDB Board</w:t>
            </w:r>
          </w:p>
        </w:tc>
        <w:tc>
          <w:tcPr>
            <w:tcW w:w="1080" w:type="dxa"/>
            <w:vAlign w:val="center"/>
          </w:tcPr>
          <w:p w14:paraId="42A5DF9E" w14:textId="4C8CBC03" w:rsidR="00557B81" w:rsidRPr="00557C0B" w:rsidRDefault="00557B81" w:rsidP="001B41B4">
            <w:pPr>
              <w:jc w:val="center"/>
              <w:rPr>
                <w:rFonts w:asciiTheme="majorHAnsi" w:hAnsiTheme="majorHAnsi" w:cstheme="majorHAnsi"/>
                <w:noProof w:val="0"/>
                <w:sz w:val="16"/>
                <w:szCs w:val="16"/>
              </w:rPr>
            </w:pPr>
            <w:r w:rsidRPr="00557C0B">
              <w:rPr>
                <w:rFonts w:asciiTheme="majorHAnsi" w:hAnsiTheme="majorHAnsi" w:cstheme="majorHAnsi"/>
                <w:noProof w:val="0"/>
                <w:sz w:val="16"/>
                <w:szCs w:val="16"/>
              </w:rPr>
              <w:t>ESIA published</w:t>
            </w:r>
          </w:p>
        </w:tc>
        <w:tc>
          <w:tcPr>
            <w:tcW w:w="1710" w:type="dxa"/>
            <w:vAlign w:val="center"/>
          </w:tcPr>
          <w:p w14:paraId="70809420" w14:textId="1297BE8D" w:rsidR="00557B81" w:rsidRPr="004E517D" w:rsidRDefault="00557B81" w:rsidP="001B41B4">
            <w:pPr>
              <w:jc w:val="center"/>
              <w:rPr>
                <w:rFonts w:asciiTheme="majorHAnsi" w:hAnsiTheme="majorHAnsi" w:cstheme="majorHAnsi"/>
                <w:noProof w:val="0"/>
                <w:sz w:val="16"/>
                <w:szCs w:val="16"/>
              </w:rPr>
            </w:pPr>
            <w:r>
              <w:rPr>
                <w:rFonts w:asciiTheme="majorHAnsi" w:hAnsiTheme="majorHAnsi" w:cstheme="majorHAnsi"/>
                <w:noProof w:val="0"/>
                <w:sz w:val="16"/>
                <w:szCs w:val="16"/>
              </w:rPr>
              <w:t>Ongoing</w:t>
            </w:r>
          </w:p>
        </w:tc>
        <w:tc>
          <w:tcPr>
            <w:tcW w:w="1080" w:type="dxa"/>
            <w:vAlign w:val="center"/>
          </w:tcPr>
          <w:p w14:paraId="0FBF86C4" w14:textId="6275ED5B" w:rsidR="00557B81" w:rsidRPr="004E517D" w:rsidRDefault="00557B81" w:rsidP="001B41B4">
            <w:pPr>
              <w:jc w:val="center"/>
              <w:rPr>
                <w:rFonts w:asciiTheme="majorHAnsi" w:hAnsiTheme="majorHAnsi" w:cstheme="majorHAnsi"/>
                <w:noProof w:val="0"/>
                <w:sz w:val="16"/>
                <w:szCs w:val="16"/>
              </w:rPr>
            </w:pPr>
            <w:r>
              <w:rPr>
                <w:rFonts w:asciiTheme="majorHAnsi" w:hAnsiTheme="majorHAnsi" w:cstheme="majorHAnsi"/>
                <w:noProof w:val="0"/>
                <w:sz w:val="16"/>
                <w:szCs w:val="16"/>
              </w:rPr>
              <w:t>S</w:t>
            </w:r>
          </w:p>
        </w:tc>
      </w:tr>
      <w:tr w:rsidR="00557B81" w:rsidRPr="004F0961" w14:paraId="3226D19E" w14:textId="77777777" w:rsidTr="00557B81">
        <w:trPr>
          <w:trHeight w:val="659"/>
          <w:jc w:val="center"/>
        </w:trPr>
        <w:tc>
          <w:tcPr>
            <w:tcW w:w="1165" w:type="dxa"/>
            <w:vMerge/>
            <w:vAlign w:val="center"/>
          </w:tcPr>
          <w:p w14:paraId="392A159B" w14:textId="77777777" w:rsidR="00557B81" w:rsidRPr="004E517D" w:rsidRDefault="00557B81" w:rsidP="001B41B4">
            <w:pPr>
              <w:jc w:val="center"/>
              <w:rPr>
                <w:rFonts w:asciiTheme="majorHAnsi" w:hAnsiTheme="majorHAnsi" w:cstheme="majorHAnsi"/>
                <w:noProof w:val="0"/>
                <w:sz w:val="16"/>
                <w:szCs w:val="16"/>
              </w:rPr>
            </w:pPr>
          </w:p>
        </w:tc>
        <w:tc>
          <w:tcPr>
            <w:tcW w:w="1170" w:type="dxa"/>
            <w:vMerge/>
            <w:vAlign w:val="center"/>
          </w:tcPr>
          <w:p w14:paraId="1E8BAEB5" w14:textId="77777777" w:rsidR="00557B81" w:rsidRPr="009C25A5" w:rsidRDefault="00557B81" w:rsidP="00F1273D">
            <w:pPr>
              <w:jc w:val="center"/>
              <w:rPr>
                <w:rFonts w:asciiTheme="majorHAnsi" w:hAnsiTheme="majorHAnsi" w:cstheme="majorHAnsi"/>
                <w:noProof w:val="0"/>
                <w:sz w:val="16"/>
                <w:szCs w:val="16"/>
              </w:rPr>
            </w:pPr>
          </w:p>
        </w:tc>
        <w:tc>
          <w:tcPr>
            <w:tcW w:w="1440" w:type="dxa"/>
            <w:vMerge/>
            <w:vAlign w:val="center"/>
          </w:tcPr>
          <w:p w14:paraId="6FBA0F99" w14:textId="77777777" w:rsidR="00557B81" w:rsidRPr="009C25A5" w:rsidRDefault="00557B81" w:rsidP="001B41B4">
            <w:pPr>
              <w:jc w:val="center"/>
              <w:rPr>
                <w:rFonts w:asciiTheme="majorHAnsi" w:hAnsiTheme="majorHAnsi" w:cstheme="majorHAnsi"/>
                <w:noProof w:val="0"/>
                <w:sz w:val="16"/>
                <w:szCs w:val="16"/>
              </w:rPr>
            </w:pPr>
          </w:p>
        </w:tc>
        <w:tc>
          <w:tcPr>
            <w:tcW w:w="3330" w:type="dxa"/>
            <w:tcBorders>
              <w:bottom w:val="single" w:sz="4" w:space="0" w:color="auto"/>
            </w:tcBorders>
            <w:vAlign w:val="center"/>
          </w:tcPr>
          <w:p w14:paraId="4FF5431D" w14:textId="273F4918" w:rsidR="00557B81" w:rsidRPr="004E517D" w:rsidRDefault="00557B81" w:rsidP="00C621AB">
            <w:pPr>
              <w:rPr>
                <w:rFonts w:asciiTheme="majorHAnsi" w:hAnsiTheme="majorHAnsi" w:cstheme="majorHAnsi"/>
                <w:noProof w:val="0"/>
                <w:sz w:val="16"/>
                <w:szCs w:val="16"/>
              </w:rPr>
            </w:pPr>
            <w:r w:rsidRPr="009C25A5">
              <w:rPr>
                <w:rFonts w:asciiTheme="majorHAnsi" w:hAnsiTheme="majorHAnsi" w:cstheme="majorHAnsi"/>
                <w:noProof w:val="0"/>
                <w:sz w:val="16"/>
                <w:szCs w:val="16"/>
              </w:rPr>
              <w:t>Grenada: An ESIA has been contracted. The ESIA must be finalized and published before approvals sought.</w:t>
            </w:r>
            <w:r>
              <w:rPr>
                <w:rFonts w:asciiTheme="majorHAnsi" w:hAnsiTheme="majorHAnsi" w:cstheme="majorHAnsi"/>
                <w:noProof w:val="0"/>
                <w:sz w:val="16"/>
                <w:szCs w:val="16"/>
              </w:rPr>
              <w:t xml:space="preserve"> Review and approval of this ESIA by ESG will be necessary.</w:t>
            </w:r>
          </w:p>
        </w:tc>
        <w:tc>
          <w:tcPr>
            <w:tcW w:w="990" w:type="dxa"/>
            <w:tcBorders>
              <w:bottom w:val="single" w:sz="4" w:space="0" w:color="auto"/>
            </w:tcBorders>
            <w:vAlign w:val="center"/>
          </w:tcPr>
          <w:p w14:paraId="0F1C83FC" w14:textId="350C810D" w:rsidR="00557B81" w:rsidRPr="004E517D" w:rsidRDefault="00557B81" w:rsidP="001B41B4">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CDB/ Consultant</w:t>
            </w:r>
          </w:p>
        </w:tc>
        <w:tc>
          <w:tcPr>
            <w:tcW w:w="990" w:type="dxa"/>
            <w:tcBorders>
              <w:bottom w:val="single" w:sz="4" w:space="0" w:color="auto"/>
            </w:tcBorders>
            <w:vAlign w:val="center"/>
          </w:tcPr>
          <w:p w14:paraId="540002DB" w14:textId="2B54C63F" w:rsidR="00557B81" w:rsidRPr="00557C0B" w:rsidRDefault="00557B81" w:rsidP="001B41B4">
            <w:pPr>
              <w:jc w:val="center"/>
              <w:rPr>
                <w:rFonts w:asciiTheme="majorHAnsi" w:hAnsiTheme="majorHAnsi" w:cstheme="majorHAnsi"/>
                <w:noProof w:val="0"/>
                <w:sz w:val="16"/>
                <w:szCs w:val="16"/>
              </w:rPr>
            </w:pPr>
            <w:r w:rsidRPr="00557C0B">
              <w:rPr>
                <w:rFonts w:asciiTheme="majorHAnsi" w:hAnsiTheme="majorHAnsi" w:cstheme="majorHAnsi"/>
                <w:noProof w:val="0"/>
                <w:sz w:val="16"/>
                <w:szCs w:val="16"/>
              </w:rPr>
              <w:t>30 days prior to CDB Board</w:t>
            </w:r>
          </w:p>
        </w:tc>
        <w:tc>
          <w:tcPr>
            <w:tcW w:w="1080" w:type="dxa"/>
            <w:tcBorders>
              <w:bottom w:val="single" w:sz="4" w:space="0" w:color="auto"/>
            </w:tcBorders>
            <w:vAlign w:val="center"/>
          </w:tcPr>
          <w:p w14:paraId="1F7A8120" w14:textId="361FCA85" w:rsidR="00557B81" w:rsidRPr="004E517D" w:rsidRDefault="00557B81" w:rsidP="001B41B4">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ESIA published</w:t>
            </w:r>
          </w:p>
        </w:tc>
        <w:tc>
          <w:tcPr>
            <w:tcW w:w="1710" w:type="dxa"/>
            <w:tcBorders>
              <w:bottom w:val="single" w:sz="4" w:space="0" w:color="auto"/>
            </w:tcBorders>
            <w:vAlign w:val="center"/>
          </w:tcPr>
          <w:p w14:paraId="39B85BE0" w14:textId="0F1F8A59" w:rsidR="00557B81" w:rsidRPr="004E517D" w:rsidRDefault="00557B81" w:rsidP="001B41B4">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tcBorders>
              <w:bottom w:val="single" w:sz="4" w:space="0" w:color="auto"/>
            </w:tcBorders>
            <w:vAlign w:val="center"/>
          </w:tcPr>
          <w:p w14:paraId="70A98381" w14:textId="651AD5BB" w:rsidR="00557B81" w:rsidRPr="004E517D" w:rsidRDefault="00557B81" w:rsidP="001B41B4">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w:t>
            </w:r>
          </w:p>
        </w:tc>
      </w:tr>
      <w:tr w:rsidR="00557B81" w:rsidRPr="004F0961" w14:paraId="6FED15C5" w14:textId="77777777" w:rsidTr="00557B81">
        <w:trPr>
          <w:trHeight w:val="122"/>
          <w:jc w:val="center"/>
        </w:trPr>
        <w:tc>
          <w:tcPr>
            <w:tcW w:w="1165" w:type="dxa"/>
            <w:vMerge/>
            <w:vAlign w:val="center"/>
          </w:tcPr>
          <w:p w14:paraId="45079B1A" w14:textId="77777777" w:rsidR="00557B81" w:rsidRPr="004E517D" w:rsidRDefault="00557B81" w:rsidP="00557B81">
            <w:pPr>
              <w:jc w:val="center"/>
              <w:rPr>
                <w:rFonts w:asciiTheme="majorHAnsi" w:hAnsiTheme="majorHAnsi" w:cstheme="majorHAnsi"/>
                <w:noProof w:val="0"/>
                <w:sz w:val="16"/>
                <w:szCs w:val="16"/>
              </w:rPr>
            </w:pPr>
          </w:p>
        </w:tc>
        <w:tc>
          <w:tcPr>
            <w:tcW w:w="1170" w:type="dxa"/>
            <w:vMerge/>
            <w:vAlign w:val="center"/>
          </w:tcPr>
          <w:p w14:paraId="4FD60D03" w14:textId="77777777" w:rsidR="00557B81" w:rsidRPr="009C25A5" w:rsidRDefault="00557B81" w:rsidP="00557B81">
            <w:pPr>
              <w:jc w:val="center"/>
              <w:rPr>
                <w:rFonts w:asciiTheme="majorHAnsi" w:hAnsiTheme="majorHAnsi" w:cstheme="majorHAnsi"/>
                <w:noProof w:val="0"/>
                <w:sz w:val="16"/>
                <w:szCs w:val="16"/>
              </w:rPr>
            </w:pPr>
          </w:p>
        </w:tc>
        <w:tc>
          <w:tcPr>
            <w:tcW w:w="1440" w:type="dxa"/>
            <w:vMerge/>
            <w:vAlign w:val="center"/>
          </w:tcPr>
          <w:p w14:paraId="61BDFA63" w14:textId="77777777" w:rsidR="00557B81" w:rsidRPr="009C25A5" w:rsidRDefault="00557B81" w:rsidP="00557B81">
            <w:pPr>
              <w:jc w:val="center"/>
              <w:rPr>
                <w:rFonts w:asciiTheme="majorHAnsi" w:hAnsiTheme="majorHAnsi" w:cstheme="majorHAnsi"/>
                <w:noProof w:val="0"/>
                <w:sz w:val="16"/>
                <w:szCs w:val="16"/>
              </w:rPr>
            </w:pPr>
          </w:p>
        </w:tc>
        <w:tc>
          <w:tcPr>
            <w:tcW w:w="3330" w:type="dxa"/>
            <w:tcBorders>
              <w:top w:val="single" w:sz="4" w:space="0" w:color="auto"/>
            </w:tcBorders>
            <w:vAlign w:val="center"/>
          </w:tcPr>
          <w:p w14:paraId="503BA10C" w14:textId="68B46656" w:rsidR="00557B81" w:rsidRPr="009C25A5" w:rsidRDefault="00557B81" w:rsidP="00557B81">
            <w:pPr>
              <w:rPr>
                <w:rFonts w:asciiTheme="majorHAnsi" w:hAnsiTheme="majorHAnsi" w:cstheme="majorHAnsi"/>
                <w:noProof w:val="0"/>
                <w:sz w:val="16"/>
                <w:szCs w:val="16"/>
              </w:rPr>
            </w:pPr>
            <w:r>
              <w:rPr>
                <w:rFonts w:asciiTheme="majorHAnsi" w:hAnsiTheme="majorHAnsi" w:cstheme="majorHAnsi"/>
                <w:noProof w:val="0"/>
                <w:sz w:val="16"/>
                <w:szCs w:val="16"/>
              </w:rPr>
              <w:t>Dominica: the existing ESIA from 2017 has several gaps in it. An addendum is currently being prepared.</w:t>
            </w:r>
          </w:p>
        </w:tc>
        <w:tc>
          <w:tcPr>
            <w:tcW w:w="990" w:type="dxa"/>
            <w:tcBorders>
              <w:top w:val="single" w:sz="4" w:space="0" w:color="auto"/>
            </w:tcBorders>
            <w:vAlign w:val="center"/>
          </w:tcPr>
          <w:p w14:paraId="1A9E3795" w14:textId="4532ED3F"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CDB/ Consultant</w:t>
            </w:r>
          </w:p>
        </w:tc>
        <w:tc>
          <w:tcPr>
            <w:tcW w:w="990" w:type="dxa"/>
            <w:tcBorders>
              <w:top w:val="single" w:sz="4" w:space="0" w:color="auto"/>
            </w:tcBorders>
            <w:vAlign w:val="center"/>
          </w:tcPr>
          <w:p w14:paraId="42C70A06" w14:textId="1CB981CE" w:rsidR="00557B81" w:rsidRPr="00557C0B"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120</w:t>
            </w:r>
            <w:r w:rsidRPr="004E517D">
              <w:rPr>
                <w:rFonts w:asciiTheme="majorHAnsi" w:hAnsiTheme="majorHAnsi" w:cstheme="majorHAnsi"/>
                <w:noProof w:val="0"/>
                <w:sz w:val="16"/>
                <w:szCs w:val="16"/>
              </w:rPr>
              <w:t xml:space="preserve"> days prior to CDB Board</w:t>
            </w:r>
          </w:p>
        </w:tc>
        <w:tc>
          <w:tcPr>
            <w:tcW w:w="1080" w:type="dxa"/>
            <w:tcBorders>
              <w:top w:val="single" w:sz="4" w:space="0" w:color="auto"/>
            </w:tcBorders>
            <w:vAlign w:val="center"/>
          </w:tcPr>
          <w:p w14:paraId="68D8592D" w14:textId="771BB8AB"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ESIA published</w:t>
            </w:r>
          </w:p>
        </w:tc>
        <w:tc>
          <w:tcPr>
            <w:tcW w:w="1710" w:type="dxa"/>
            <w:tcBorders>
              <w:top w:val="single" w:sz="4" w:space="0" w:color="auto"/>
            </w:tcBorders>
            <w:vAlign w:val="center"/>
          </w:tcPr>
          <w:p w14:paraId="4EE1FAC0" w14:textId="7D8881E9"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tcBorders>
              <w:top w:val="single" w:sz="4" w:space="0" w:color="auto"/>
            </w:tcBorders>
            <w:vAlign w:val="center"/>
          </w:tcPr>
          <w:p w14:paraId="4E5D64B3" w14:textId="78ECC958"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w:t>
            </w:r>
          </w:p>
        </w:tc>
      </w:tr>
      <w:tr w:rsidR="00557B81" w:rsidRPr="004F0961" w14:paraId="7BE23280" w14:textId="77777777" w:rsidTr="002169E7">
        <w:trPr>
          <w:trHeight w:val="458"/>
          <w:jc w:val="center"/>
        </w:trPr>
        <w:tc>
          <w:tcPr>
            <w:tcW w:w="1165" w:type="dxa"/>
            <w:vMerge w:val="restart"/>
            <w:vAlign w:val="center"/>
          </w:tcPr>
          <w:p w14:paraId="5C9B8F4A" w14:textId="13DD6932"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10/</w:t>
            </w:r>
            <w:r>
              <w:rPr>
                <w:rFonts w:asciiTheme="majorHAnsi" w:hAnsiTheme="majorHAnsi" w:cstheme="majorHAnsi"/>
                <w:noProof w:val="0"/>
                <w:sz w:val="16"/>
                <w:szCs w:val="16"/>
              </w:rPr>
              <w:t>1</w:t>
            </w:r>
            <w:r w:rsidRPr="004E517D">
              <w:rPr>
                <w:rFonts w:asciiTheme="majorHAnsi" w:hAnsiTheme="majorHAnsi" w:cstheme="majorHAnsi"/>
                <w:noProof w:val="0"/>
                <w:sz w:val="16"/>
                <w:szCs w:val="16"/>
              </w:rPr>
              <w:t>5/20</w:t>
            </w:r>
            <w:r>
              <w:rPr>
                <w:rFonts w:asciiTheme="majorHAnsi" w:hAnsiTheme="majorHAnsi" w:cstheme="majorHAnsi"/>
                <w:noProof w:val="0"/>
                <w:sz w:val="16"/>
                <w:szCs w:val="16"/>
              </w:rPr>
              <w:t>20</w:t>
            </w:r>
          </w:p>
        </w:tc>
        <w:tc>
          <w:tcPr>
            <w:tcW w:w="1170" w:type="dxa"/>
            <w:vMerge w:val="restart"/>
            <w:vAlign w:val="center"/>
          </w:tcPr>
          <w:p w14:paraId="56D4FC39" w14:textId="6CE6F4BA"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OP-703: B.6 Consultation</w:t>
            </w:r>
          </w:p>
        </w:tc>
        <w:tc>
          <w:tcPr>
            <w:tcW w:w="1440" w:type="dxa"/>
            <w:vMerge w:val="restart"/>
            <w:vAlign w:val="center"/>
          </w:tcPr>
          <w:p w14:paraId="43DCF797" w14:textId="637D7400"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Meaningful consultation of subprojects</w:t>
            </w:r>
          </w:p>
        </w:tc>
        <w:tc>
          <w:tcPr>
            <w:tcW w:w="3330" w:type="dxa"/>
            <w:vAlign w:val="center"/>
          </w:tcPr>
          <w:p w14:paraId="0F133061" w14:textId="7D1A5B88" w:rsidR="00557B81" w:rsidRPr="004E517D"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St Vincent: a CLO is ensuring ongoing consultation during execution.</w:t>
            </w:r>
          </w:p>
        </w:tc>
        <w:tc>
          <w:tcPr>
            <w:tcW w:w="990" w:type="dxa"/>
            <w:vAlign w:val="center"/>
          </w:tcPr>
          <w:p w14:paraId="6E33A884" w14:textId="19F5C088"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SVGCL</w:t>
            </w:r>
          </w:p>
        </w:tc>
        <w:tc>
          <w:tcPr>
            <w:tcW w:w="990" w:type="dxa"/>
            <w:vAlign w:val="center"/>
          </w:tcPr>
          <w:p w14:paraId="4ED4C165" w14:textId="2E8C7947"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080" w:type="dxa"/>
            <w:vAlign w:val="center"/>
          </w:tcPr>
          <w:p w14:paraId="530C19D4" w14:textId="34BA1B40"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710" w:type="dxa"/>
            <w:vAlign w:val="center"/>
          </w:tcPr>
          <w:p w14:paraId="1247C790" w14:textId="761CB7C6"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66BFA837" w14:textId="0FE56A76"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w:t>
            </w:r>
          </w:p>
        </w:tc>
      </w:tr>
      <w:tr w:rsidR="00557B81" w:rsidRPr="004F0961" w14:paraId="2BD8E8A5" w14:textId="77777777" w:rsidTr="002169E7">
        <w:trPr>
          <w:trHeight w:val="458"/>
          <w:jc w:val="center"/>
        </w:trPr>
        <w:tc>
          <w:tcPr>
            <w:tcW w:w="1165" w:type="dxa"/>
            <w:vMerge/>
            <w:vAlign w:val="center"/>
          </w:tcPr>
          <w:p w14:paraId="27A4E496" w14:textId="77777777" w:rsidR="00557B81" w:rsidRPr="004E517D" w:rsidRDefault="00557B81" w:rsidP="00557B81">
            <w:pPr>
              <w:jc w:val="center"/>
              <w:rPr>
                <w:rFonts w:asciiTheme="majorHAnsi" w:hAnsiTheme="majorHAnsi" w:cstheme="majorHAnsi"/>
                <w:noProof w:val="0"/>
                <w:sz w:val="16"/>
                <w:szCs w:val="16"/>
              </w:rPr>
            </w:pPr>
          </w:p>
        </w:tc>
        <w:tc>
          <w:tcPr>
            <w:tcW w:w="1170" w:type="dxa"/>
            <w:vMerge/>
            <w:vAlign w:val="center"/>
          </w:tcPr>
          <w:p w14:paraId="7BE2281A" w14:textId="77777777" w:rsidR="00557B81" w:rsidRPr="009C25A5" w:rsidRDefault="00557B81" w:rsidP="00557B81">
            <w:pPr>
              <w:jc w:val="center"/>
              <w:rPr>
                <w:rFonts w:asciiTheme="majorHAnsi" w:hAnsiTheme="majorHAnsi" w:cstheme="majorHAnsi"/>
                <w:noProof w:val="0"/>
                <w:sz w:val="16"/>
                <w:szCs w:val="16"/>
              </w:rPr>
            </w:pPr>
          </w:p>
        </w:tc>
        <w:tc>
          <w:tcPr>
            <w:tcW w:w="1440" w:type="dxa"/>
            <w:vMerge/>
            <w:vAlign w:val="center"/>
          </w:tcPr>
          <w:p w14:paraId="2E2976F1" w14:textId="77777777" w:rsidR="00557B81" w:rsidRPr="009C25A5" w:rsidRDefault="00557B81" w:rsidP="00557B81">
            <w:pPr>
              <w:jc w:val="center"/>
              <w:rPr>
                <w:rFonts w:asciiTheme="majorHAnsi" w:hAnsiTheme="majorHAnsi" w:cstheme="majorHAnsi"/>
                <w:noProof w:val="0"/>
                <w:sz w:val="16"/>
                <w:szCs w:val="16"/>
              </w:rPr>
            </w:pPr>
          </w:p>
        </w:tc>
        <w:tc>
          <w:tcPr>
            <w:tcW w:w="3330" w:type="dxa"/>
            <w:vAlign w:val="center"/>
          </w:tcPr>
          <w:p w14:paraId="07C4BB05" w14:textId="30195B96" w:rsidR="00557B81" w:rsidRPr="009C25A5" w:rsidRDefault="00557B81" w:rsidP="00557B81">
            <w:pPr>
              <w:rPr>
                <w:rFonts w:asciiTheme="majorHAnsi" w:hAnsiTheme="majorHAnsi" w:cstheme="majorHAnsi"/>
                <w:noProof w:val="0"/>
                <w:sz w:val="16"/>
                <w:szCs w:val="16"/>
              </w:rPr>
            </w:pPr>
            <w:r w:rsidRPr="009C25A5">
              <w:rPr>
                <w:rFonts w:asciiTheme="majorHAnsi" w:hAnsiTheme="majorHAnsi" w:cstheme="majorHAnsi"/>
                <w:noProof w:val="0"/>
                <w:sz w:val="16"/>
                <w:szCs w:val="16"/>
              </w:rPr>
              <w:t xml:space="preserve">Nevis: Meaningful consultation </w:t>
            </w:r>
            <w:r>
              <w:rPr>
                <w:rFonts w:asciiTheme="majorHAnsi" w:hAnsiTheme="majorHAnsi" w:cstheme="majorHAnsi"/>
                <w:noProof w:val="0"/>
                <w:sz w:val="16"/>
                <w:szCs w:val="16"/>
              </w:rPr>
              <w:t>is being planned, to be carried out through a virtual platform due to Covid-19 limitations.</w:t>
            </w:r>
          </w:p>
        </w:tc>
        <w:tc>
          <w:tcPr>
            <w:tcW w:w="990" w:type="dxa"/>
            <w:vAlign w:val="center"/>
          </w:tcPr>
          <w:p w14:paraId="0F929BC5" w14:textId="77777777"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NREI</w:t>
            </w:r>
          </w:p>
          <w:p w14:paraId="21475C86" w14:textId="77777777" w:rsidR="00557B81" w:rsidRPr="00557C0B" w:rsidRDefault="00557B81" w:rsidP="00557B81">
            <w:pPr>
              <w:jc w:val="center"/>
              <w:rPr>
                <w:rFonts w:asciiTheme="majorHAnsi" w:hAnsiTheme="majorHAnsi" w:cstheme="majorHAnsi"/>
                <w:b/>
                <w:noProof w:val="0"/>
                <w:sz w:val="16"/>
                <w:szCs w:val="16"/>
              </w:rPr>
            </w:pPr>
          </w:p>
        </w:tc>
        <w:tc>
          <w:tcPr>
            <w:tcW w:w="990" w:type="dxa"/>
            <w:vAlign w:val="center"/>
          </w:tcPr>
          <w:p w14:paraId="49B552E0" w14:textId="6521370D" w:rsidR="00557B81" w:rsidRPr="004E517D" w:rsidRDefault="00557B81" w:rsidP="00557B81">
            <w:pPr>
              <w:jc w:val="center"/>
              <w:rPr>
                <w:rFonts w:asciiTheme="majorHAnsi" w:hAnsiTheme="majorHAnsi" w:cstheme="majorHAnsi"/>
                <w:noProof w:val="0"/>
                <w:sz w:val="16"/>
                <w:szCs w:val="16"/>
              </w:rPr>
            </w:pPr>
            <w:r w:rsidRPr="00557C0B">
              <w:rPr>
                <w:rFonts w:asciiTheme="majorHAnsi" w:hAnsiTheme="majorHAnsi" w:cstheme="majorHAnsi"/>
                <w:noProof w:val="0"/>
                <w:sz w:val="16"/>
                <w:szCs w:val="16"/>
              </w:rPr>
              <w:t>Prior to approval</w:t>
            </w:r>
            <w:r>
              <w:rPr>
                <w:rFonts w:asciiTheme="majorHAnsi" w:hAnsiTheme="majorHAnsi" w:cstheme="majorHAnsi"/>
                <w:noProof w:val="0"/>
                <w:sz w:val="16"/>
                <w:szCs w:val="16"/>
              </w:rPr>
              <w:t xml:space="preserve"> of project by CDB Board</w:t>
            </w:r>
          </w:p>
        </w:tc>
        <w:tc>
          <w:tcPr>
            <w:tcW w:w="1080" w:type="dxa"/>
            <w:vAlign w:val="center"/>
          </w:tcPr>
          <w:p w14:paraId="4C393F2E" w14:textId="49E1299E" w:rsidR="00557B81" w:rsidRPr="00557C0B" w:rsidRDefault="00557B81" w:rsidP="00557B81">
            <w:pPr>
              <w:jc w:val="center"/>
              <w:rPr>
                <w:rFonts w:asciiTheme="majorHAnsi" w:hAnsiTheme="majorHAnsi" w:cstheme="majorHAnsi"/>
                <w:noProof w:val="0"/>
                <w:sz w:val="16"/>
                <w:szCs w:val="16"/>
              </w:rPr>
            </w:pPr>
            <w:r w:rsidRPr="00557C0B">
              <w:rPr>
                <w:rFonts w:asciiTheme="majorHAnsi" w:hAnsiTheme="majorHAnsi" w:cstheme="majorHAnsi"/>
                <w:noProof w:val="0"/>
                <w:sz w:val="16"/>
                <w:szCs w:val="16"/>
              </w:rPr>
              <w:t>Consultation Report</w:t>
            </w:r>
          </w:p>
        </w:tc>
        <w:tc>
          <w:tcPr>
            <w:tcW w:w="1710" w:type="dxa"/>
            <w:vAlign w:val="center"/>
          </w:tcPr>
          <w:p w14:paraId="4B399F74" w14:textId="77209BCC"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Not started</w:t>
            </w:r>
          </w:p>
        </w:tc>
        <w:tc>
          <w:tcPr>
            <w:tcW w:w="1080" w:type="dxa"/>
            <w:vAlign w:val="center"/>
          </w:tcPr>
          <w:p w14:paraId="7CA6F383" w14:textId="57DB5AB7"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S</w:t>
            </w:r>
          </w:p>
        </w:tc>
      </w:tr>
      <w:tr w:rsidR="00557B81" w:rsidRPr="004F0961" w14:paraId="39BDF0BF" w14:textId="77777777" w:rsidTr="00557B81">
        <w:trPr>
          <w:trHeight w:val="311"/>
          <w:jc w:val="center"/>
        </w:trPr>
        <w:tc>
          <w:tcPr>
            <w:tcW w:w="1165" w:type="dxa"/>
            <w:vMerge/>
            <w:vAlign w:val="center"/>
          </w:tcPr>
          <w:p w14:paraId="6EB23FEA" w14:textId="77777777" w:rsidR="00557B81" w:rsidRPr="004E517D" w:rsidRDefault="00557B81" w:rsidP="00557B81">
            <w:pPr>
              <w:jc w:val="center"/>
              <w:rPr>
                <w:rFonts w:asciiTheme="majorHAnsi" w:hAnsiTheme="majorHAnsi" w:cstheme="majorHAnsi"/>
                <w:noProof w:val="0"/>
                <w:sz w:val="16"/>
                <w:szCs w:val="16"/>
              </w:rPr>
            </w:pPr>
          </w:p>
        </w:tc>
        <w:tc>
          <w:tcPr>
            <w:tcW w:w="1170" w:type="dxa"/>
            <w:vMerge/>
            <w:vAlign w:val="center"/>
          </w:tcPr>
          <w:p w14:paraId="474ADB8F" w14:textId="77777777" w:rsidR="00557B81" w:rsidRPr="009C25A5" w:rsidRDefault="00557B81" w:rsidP="00557B81">
            <w:pPr>
              <w:jc w:val="center"/>
              <w:rPr>
                <w:rFonts w:asciiTheme="majorHAnsi" w:hAnsiTheme="majorHAnsi" w:cstheme="majorHAnsi"/>
                <w:noProof w:val="0"/>
                <w:sz w:val="16"/>
                <w:szCs w:val="16"/>
              </w:rPr>
            </w:pPr>
          </w:p>
        </w:tc>
        <w:tc>
          <w:tcPr>
            <w:tcW w:w="1440" w:type="dxa"/>
            <w:vMerge/>
            <w:vAlign w:val="center"/>
          </w:tcPr>
          <w:p w14:paraId="1DD5D7FD" w14:textId="77777777" w:rsidR="00557B81" w:rsidRPr="009C25A5" w:rsidRDefault="00557B81" w:rsidP="00557B81">
            <w:pPr>
              <w:jc w:val="center"/>
              <w:rPr>
                <w:rFonts w:asciiTheme="majorHAnsi" w:hAnsiTheme="majorHAnsi" w:cstheme="majorHAnsi"/>
                <w:noProof w:val="0"/>
                <w:sz w:val="16"/>
                <w:szCs w:val="16"/>
              </w:rPr>
            </w:pPr>
          </w:p>
        </w:tc>
        <w:tc>
          <w:tcPr>
            <w:tcW w:w="3330" w:type="dxa"/>
            <w:tcBorders>
              <w:bottom w:val="single" w:sz="4" w:space="0" w:color="auto"/>
            </w:tcBorders>
            <w:vAlign w:val="center"/>
          </w:tcPr>
          <w:p w14:paraId="2FCBD2FD" w14:textId="0CDAFD49" w:rsidR="00557B81" w:rsidRPr="009C25A5" w:rsidRDefault="00557B81" w:rsidP="00557B81">
            <w:pPr>
              <w:rPr>
                <w:rFonts w:asciiTheme="majorHAnsi" w:hAnsiTheme="majorHAnsi" w:cstheme="majorHAnsi"/>
                <w:noProof w:val="0"/>
                <w:sz w:val="16"/>
                <w:szCs w:val="16"/>
              </w:rPr>
            </w:pPr>
            <w:r w:rsidRPr="009C25A5">
              <w:rPr>
                <w:rFonts w:asciiTheme="majorHAnsi" w:hAnsiTheme="majorHAnsi" w:cstheme="majorHAnsi"/>
                <w:noProof w:val="0"/>
                <w:sz w:val="16"/>
                <w:szCs w:val="16"/>
              </w:rPr>
              <w:t xml:space="preserve">Grenada: The ESIA consultants </w:t>
            </w:r>
            <w:proofErr w:type="spellStart"/>
            <w:r w:rsidR="00D04149">
              <w:rPr>
                <w:rFonts w:asciiTheme="majorHAnsi" w:hAnsiTheme="majorHAnsi" w:cstheme="majorHAnsi"/>
                <w:noProof w:val="0"/>
                <w:sz w:val="16"/>
                <w:szCs w:val="16"/>
              </w:rPr>
              <w:t>ToR</w:t>
            </w:r>
            <w:proofErr w:type="spellEnd"/>
            <w:r w:rsidR="00D04149" w:rsidRPr="009C25A5">
              <w:rPr>
                <w:rFonts w:asciiTheme="majorHAnsi" w:hAnsiTheme="majorHAnsi" w:cstheme="majorHAnsi"/>
                <w:noProof w:val="0"/>
                <w:sz w:val="16"/>
                <w:szCs w:val="16"/>
              </w:rPr>
              <w:t xml:space="preserve"> </w:t>
            </w:r>
            <w:r w:rsidRPr="009C25A5">
              <w:rPr>
                <w:rFonts w:asciiTheme="majorHAnsi" w:hAnsiTheme="majorHAnsi" w:cstheme="majorHAnsi"/>
                <w:noProof w:val="0"/>
                <w:sz w:val="16"/>
                <w:szCs w:val="16"/>
              </w:rPr>
              <w:t>include undertaking meaningful consultation.</w:t>
            </w:r>
          </w:p>
        </w:tc>
        <w:tc>
          <w:tcPr>
            <w:tcW w:w="990" w:type="dxa"/>
            <w:tcBorders>
              <w:bottom w:val="single" w:sz="4" w:space="0" w:color="auto"/>
            </w:tcBorders>
            <w:vAlign w:val="center"/>
          </w:tcPr>
          <w:p w14:paraId="3969F1BA" w14:textId="3BBF951B"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CDB/ Consultant</w:t>
            </w:r>
          </w:p>
        </w:tc>
        <w:tc>
          <w:tcPr>
            <w:tcW w:w="990" w:type="dxa"/>
            <w:tcBorders>
              <w:bottom w:val="single" w:sz="4" w:space="0" w:color="auto"/>
            </w:tcBorders>
            <w:vAlign w:val="center"/>
          </w:tcPr>
          <w:p w14:paraId="306B40CA" w14:textId="2E430C27"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Prior to approval</w:t>
            </w:r>
            <w:r>
              <w:rPr>
                <w:rFonts w:asciiTheme="majorHAnsi" w:hAnsiTheme="majorHAnsi" w:cstheme="majorHAnsi"/>
                <w:noProof w:val="0"/>
                <w:sz w:val="16"/>
                <w:szCs w:val="16"/>
              </w:rPr>
              <w:t xml:space="preserve"> of </w:t>
            </w:r>
          </w:p>
        </w:tc>
        <w:tc>
          <w:tcPr>
            <w:tcW w:w="1080" w:type="dxa"/>
            <w:tcBorders>
              <w:bottom w:val="single" w:sz="4" w:space="0" w:color="auto"/>
            </w:tcBorders>
            <w:vAlign w:val="center"/>
          </w:tcPr>
          <w:p w14:paraId="1DA16585" w14:textId="6863A995" w:rsidR="00557B81" w:rsidRPr="00557C0B" w:rsidRDefault="00557B81" w:rsidP="00557B81">
            <w:pPr>
              <w:jc w:val="center"/>
              <w:rPr>
                <w:rFonts w:asciiTheme="majorHAnsi" w:hAnsiTheme="majorHAnsi" w:cstheme="majorHAnsi"/>
                <w:noProof w:val="0"/>
                <w:sz w:val="16"/>
                <w:szCs w:val="16"/>
              </w:rPr>
            </w:pPr>
            <w:r w:rsidRPr="00557C0B">
              <w:rPr>
                <w:rFonts w:asciiTheme="majorHAnsi" w:hAnsiTheme="majorHAnsi" w:cstheme="majorHAnsi"/>
                <w:noProof w:val="0"/>
                <w:sz w:val="16"/>
                <w:szCs w:val="16"/>
              </w:rPr>
              <w:t>Consultation Report</w:t>
            </w:r>
          </w:p>
        </w:tc>
        <w:tc>
          <w:tcPr>
            <w:tcW w:w="1710" w:type="dxa"/>
            <w:tcBorders>
              <w:bottom w:val="single" w:sz="4" w:space="0" w:color="auto"/>
            </w:tcBorders>
            <w:vAlign w:val="center"/>
          </w:tcPr>
          <w:p w14:paraId="53C05484" w14:textId="1533F46D"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Not started</w:t>
            </w:r>
          </w:p>
        </w:tc>
        <w:tc>
          <w:tcPr>
            <w:tcW w:w="1080" w:type="dxa"/>
            <w:tcBorders>
              <w:bottom w:val="single" w:sz="4" w:space="0" w:color="auto"/>
            </w:tcBorders>
            <w:vAlign w:val="center"/>
          </w:tcPr>
          <w:p w14:paraId="14772472" w14:textId="17E12897"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w:t>
            </w:r>
          </w:p>
        </w:tc>
      </w:tr>
      <w:tr w:rsidR="00557B81" w:rsidRPr="004F0961" w14:paraId="19131430" w14:textId="77777777" w:rsidTr="00557B81">
        <w:trPr>
          <w:trHeight w:val="470"/>
          <w:jc w:val="center"/>
        </w:trPr>
        <w:tc>
          <w:tcPr>
            <w:tcW w:w="1165" w:type="dxa"/>
            <w:vMerge/>
            <w:vAlign w:val="center"/>
          </w:tcPr>
          <w:p w14:paraId="374BC08B" w14:textId="77777777" w:rsidR="00557B81" w:rsidRPr="004E517D" w:rsidRDefault="00557B81" w:rsidP="00557B81">
            <w:pPr>
              <w:jc w:val="center"/>
              <w:rPr>
                <w:rFonts w:asciiTheme="majorHAnsi" w:hAnsiTheme="majorHAnsi" w:cstheme="majorHAnsi"/>
                <w:noProof w:val="0"/>
                <w:sz w:val="16"/>
                <w:szCs w:val="16"/>
              </w:rPr>
            </w:pPr>
          </w:p>
        </w:tc>
        <w:tc>
          <w:tcPr>
            <w:tcW w:w="1170" w:type="dxa"/>
            <w:vMerge/>
            <w:vAlign w:val="center"/>
          </w:tcPr>
          <w:p w14:paraId="702659CD" w14:textId="77777777" w:rsidR="00557B81" w:rsidRPr="009C25A5" w:rsidRDefault="00557B81" w:rsidP="00557B81">
            <w:pPr>
              <w:jc w:val="center"/>
              <w:rPr>
                <w:rFonts w:asciiTheme="majorHAnsi" w:hAnsiTheme="majorHAnsi" w:cstheme="majorHAnsi"/>
                <w:noProof w:val="0"/>
                <w:sz w:val="16"/>
                <w:szCs w:val="16"/>
              </w:rPr>
            </w:pPr>
          </w:p>
        </w:tc>
        <w:tc>
          <w:tcPr>
            <w:tcW w:w="1440" w:type="dxa"/>
            <w:vMerge/>
            <w:vAlign w:val="center"/>
          </w:tcPr>
          <w:p w14:paraId="0A500E5A" w14:textId="77777777" w:rsidR="00557B81" w:rsidRPr="009C25A5" w:rsidRDefault="00557B81" w:rsidP="00557B81">
            <w:pPr>
              <w:jc w:val="center"/>
              <w:rPr>
                <w:rFonts w:asciiTheme="majorHAnsi" w:hAnsiTheme="majorHAnsi" w:cstheme="majorHAnsi"/>
                <w:noProof w:val="0"/>
                <w:sz w:val="16"/>
                <w:szCs w:val="16"/>
              </w:rPr>
            </w:pPr>
          </w:p>
        </w:tc>
        <w:tc>
          <w:tcPr>
            <w:tcW w:w="3330" w:type="dxa"/>
            <w:tcBorders>
              <w:top w:val="single" w:sz="4" w:space="0" w:color="auto"/>
            </w:tcBorders>
            <w:vAlign w:val="center"/>
          </w:tcPr>
          <w:p w14:paraId="3C43565B" w14:textId="3CA1A1BE" w:rsidR="00557B81" w:rsidRPr="009C25A5" w:rsidRDefault="00557B81" w:rsidP="00557B81">
            <w:pPr>
              <w:rPr>
                <w:rFonts w:asciiTheme="majorHAnsi" w:hAnsiTheme="majorHAnsi" w:cstheme="majorHAnsi"/>
                <w:noProof w:val="0"/>
                <w:sz w:val="16"/>
                <w:szCs w:val="16"/>
              </w:rPr>
            </w:pPr>
            <w:r>
              <w:rPr>
                <w:rFonts w:asciiTheme="majorHAnsi" w:hAnsiTheme="majorHAnsi" w:cstheme="majorHAnsi"/>
                <w:noProof w:val="0"/>
                <w:sz w:val="16"/>
                <w:szCs w:val="16"/>
              </w:rPr>
              <w:t>Dominica: Meaningful consultation will have to be carried out. The event will likely utilize a virtual platform due to covid-19 limitations.</w:t>
            </w:r>
          </w:p>
        </w:tc>
        <w:tc>
          <w:tcPr>
            <w:tcW w:w="990" w:type="dxa"/>
            <w:tcBorders>
              <w:top w:val="single" w:sz="4" w:space="0" w:color="auto"/>
            </w:tcBorders>
            <w:vAlign w:val="center"/>
          </w:tcPr>
          <w:p w14:paraId="7E54BBB8" w14:textId="28522C45"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CDB/ Consultant</w:t>
            </w:r>
          </w:p>
        </w:tc>
        <w:tc>
          <w:tcPr>
            <w:tcW w:w="990" w:type="dxa"/>
            <w:tcBorders>
              <w:top w:val="single" w:sz="4" w:space="0" w:color="auto"/>
            </w:tcBorders>
            <w:vAlign w:val="center"/>
          </w:tcPr>
          <w:p w14:paraId="13B279CF" w14:textId="48339982" w:rsidR="00557B81" w:rsidRPr="004E517D" w:rsidRDefault="000475FC"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Prior to</w:t>
            </w:r>
            <w:r w:rsidR="00557B81">
              <w:rPr>
                <w:rFonts w:asciiTheme="majorHAnsi" w:hAnsiTheme="majorHAnsi" w:cstheme="majorHAnsi"/>
                <w:noProof w:val="0"/>
                <w:sz w:val="16"/>
                <w:szCs w:val="16"/>
              </w:rPr>
              <w:t xml:space="preserve"> CDB Board</w:t>
            </w:r>
          </w:p>
        </w:tc>
        <w:tc>
          <w:tcPr>
            <w:tcW w:w="1080" w:type="dxa"/>
            <w:tcBorders>
              <w:top w:val="single" w:sz="4" w:space="0" w:color="auto"/>
            </w:tcBorders>
            <w:vAlign w:val="center"/>
          </w:tcPr>
          <w:p w14:paraId="40F7A655" w14:textId="452BE50F" w:rsidR="00557B81" w:rsidRPr="00557C0B"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Consultation report</w:t>
            </w:r>
          </w:p>
        </w:tc>
        <w:tc>
          <w:tcPr>
            <w:tcW w:w="1710" w:type="dxa"/>
            <w:tcBorders>
              <w:top w:val="single" w:sz="4" w:space="0" w:color="auto"/>
            </w:tcBorders>
            <w:vAlign w:val="center"/>
          </w:tcPr>
          <w:p w14:paraId="77B4E431" w14:textId="71EC0876"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Not started</w:t>
            </w:r>
          </w:p>
        </w:tc>
        <w:tc>
          <w:tcPr>
            <w:tcW w:w="1080" w:type="dxa"/>
            <w:tcBorders>
              <w:top w:val="single" w:sz="4" w:space="0" w:color="auto"/>
            </w:tcBorders>
            <w:vAlign w:val="center"/>
          </w:tcPr>
          <w:p w14:paraId="71A3196B" w14:textId="05D5727F"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S</w:t>
            </w:r>
          </w:p>
        </w:tc>
      </w:tr>
      <w:tr w:rsidR="00557B81" w:rsidRPr="004F0961" w14:paraId="69F3BCC0" w14:textId="77777777" w:rsidTr="002169E7">
        <w:trPr>
          <w:trHeight w:val="620"/>
          <w:jc w:val="center"/>
        </w:trPr>
        <w:tc>
          <w:tcPr>
            <w:tcW w:w="1165" w:type="dxa"/>
            <w:vAlign w:val="center"/>
          </w:tcPr>
          <w:p w14:paraId="0A36C8A4" w14:textId="52D78CF1"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10/</w:t>
            </w:r>
            <w:r>
              <w:rPr>
                <w:rFonts w:asciiTheme="majorHAnsi" w:hAnsiTheme="majorHAnsi" w:cstheme="majorHAnsi"/>
                <w:noProof w:val="0"/>
                <w:sz w:val="16"/>
                <w:szCs w:val="16"/>
              </w:rPr>
              <w:t>15</w:t>
            </w:r>
            <w:r w:rsidRPr="004E517D">
              <w:rPr>
                <w:rFonts w:asciiTheme="majorHAnsi" w:hAnsiTheme="majorHAnsi" w:cstheme="majorHAnsi"/>
                <w:noProof w:val="0"/>
                <w:sz w:val="16"/>
                <w:szCs w:val="16"/>
              </w:rPr>
              <w:t>/20</w:t>
            </w:r>
            <w:r>
              <w:rPr>
                <w:rFonts w:asciiTheme="majorHAnsi" w:hAnsiTheme="majorHAnsi" w:cstheme="majorHAnsi"/>
                <w:noProof w:val="0"/>
                <w:sz w:val="16"/>
                <w:szCs w:val="16"/>
              </w:rPr>
              <w:t>20</w:t>
            </w:r>
          </w:p>
        </w:tc>
        <w:tc>
          <w:tcPr>
            <w:tcW w:w="1170" w:type="dxa"/>
            <w:vAlign w:val="center"/>
          </w:tcPr>
          <w:p w14:paraId="72BBF293" w14:textId="5ED92F10"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OP-703: B.7 Supervision and Compliance</w:t>
            </w:r>
          </w:p>
        </w:tc>
        <w:tc>
          <w:tcPr>
            <w:tcW w:w="1440" w:type="dxa"/>
            <w:vAlign w:val="center"/>
          </w:tcPr>
          <w:p w14:paraId="2F55D7AE" w14:textId="5B49CACA"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Supervision by CDB of subprojects</w:t>
            </w:r>
          </w:p>
        </w:tc>
        <w:tc>
          <w:tcPr>
            <w:tcW w:w="3330" w:type="dxa"/>
            <w:vAlign w:val="center"/>
          </w:tcPr>
          <w:p w14:paraId="71C45FB5" w14:textId="7CCD8A15" w:rsidR="00557B81"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St. Vincent: joint </w:t>
            </w:r>
            <w:r>
              <w:rPr>
                <w:rFonts w:asciiTheme="majorHAnsi" w:hAnsiTheme="majorHAnsi" w:cstheme="majorHAnsi"/>
                <w:noProof w:val="0"/>
                <w:sz w:val="16"/>
                <w:szCs w:val="16"/>
              </w:rPr>
              <w:t>virtual supervision mission</w:t>
            </w:r>
            <w:r w:rsidRPr="004E517D">
              <w:rPr>
                <w:rFonts w:asciiTheme="majorHAnsi" w:hAnsiTheme="majorHAnsi" w:cstheme="majorHAnsi"/>
                <w:noProof w:val="0"/>
                <w:sz w:val="16"/>
                <w:szCs w:val="16"/>
              </w:rPr>
              <w:t xml:space="preserve"> undertaken</w:t>
            </w:r>
            <w:r>
              <w:rPr>
                <w:rFonts w:asciiTheme="majorHAnsi" w:hAnsiTheme="majorHAnsi" w:cstheme="majorHAnsi"/>
                <w:noProof w:val="0"/>
                <w:sz w:val="16"/>
                <w:szCs w:val="16"/>
              </w:rPr>
              <w:t xml:space="preserve">. </w:t>
            </w:r>
          </w:p>
          <w:p w14:paraId="0B4005CE" w14:textId="464FBBFE" w:rsidR="00557B81" w:rsidRPr="004E517D" w:rsidRDefault="00557B81" w:rsidP="00557B81">
            <w:pPr>
              <w:rPr>
                <w:rFonts w:asciiTheme="majorHAnsi" w:hAnsiTheme="majorHAnsi" w:cstheme="majorHAnsi"/>
                <w:noProof w:val="0"/>
                <w:sz w:val="16"/>
                <w:szCs w:val="16"/>
              </w:rPr>
            </w:pPr>
          </w:p>
        </w:tc>
        <w:tc>
          <w:tcPr>
            <w:tcW w:w="990" w:type="dxa"/>
            <w:vAlign w:val="center"/>
          </w:tcPr>
          <w:p w14:paraId="322B7047" w14:textId="1D4DD198"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CDB</w:t>
            </w:r>
          </w:p>
        </w:tc>
        <w:tc>
          <w:tcPr>
            <w:tcW w:w="990" w:type="dxa"/>
            <w:vAlign w:val="center"/>
          </w:tcPr>
          <w:p w14:paraId="477F0F5C" w14:textId="2BF0B265"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707D25C5" w14:textId="4BF8845D" w:rsidR="00557B81" w:rsidRPr="00557C0B"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Aide Memoires, </w:t>
            </w:r>
            <w:r w:rsidRPr="00557C0B">
              <w:rPr>
                <w:rFonts w:asciiTheme="majorHAnsi" w:hAnsiTheme="majorHAnsi" w:cstheme="majorHAnsi"/>
                <w:noProof w:val="0"/>
                <w:sz w:val="16"/>
                <w:szCs w:val="16"/>
              </w:rPr>
              <w:t>Semiannual reports</w:t>
            </w:r>
          </w:p>
        </w:tc>
        <w:tc>
          <w:tcPr>
            <w:tcW w:w="1710" w:type="dxa"/>
            <w:vAlign w:val="center"/>
          </w:tcPr>
          <w:p w14:paraId="0C1EDF3F" w14:textId="17FABC0E"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17671DED" w14:textId="7BEBE64C"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S</w:t>
            </w:r>
          </w:p>
        </w:tc>
      </w:tr>
      <w:tr w:rsidR="00557B81" w:rsidRPr="004F0961" w14:paraId="1BD080CC" w14:textId="52204C90" w:rsidTr="002169E7">
        <w:trPr>
          <w:trHeight w:val="1070"/>
          <w:jc w:val="center"/>
        </w:trPr>
        <w:tc>
          <w:tcPr>
            <w:tcW w:w="1165" w:type="dxa"/>
            <w:vAlign w:val="center"/>
          </w:tcPr>
          <w:p w14:paraId="30BFD3D9" w14:textId="50D1E9C6"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10/</w:t>
            </w:r>
            <w:r w:rsidR="00DA3694">
              <w:rPr>
                <w:rFonts w:asciiTheme="majorHAnsi" w:hAnsiTheme="majorHAnsi" w:cstheme="majorHAnsi"/>
                <w:noProof w:val="0"/>
                <w:sz w:val="16"/>
                <w:szCs w:val="16"/>
              </w:rPr>
              <w:t>1</w:t>
            </w:r>
            <w:r w:rsidRPr="004E517D">
              <w:rPr>
                <w:rFonts w:asciiTheme="majorHAnsi" w:hAnsiTheme="majorHAnsi" w:cstheme="majorHAnsi"/>
                <w:noProof w:val="0"/>
                <w:sz w:val="16"/>
                <w:szCs w:val="16"/>
              </w:rPr>
              <w:t>5/20</w:t>
            </w:r>
            <w:r w:rsidR="00DA3694">
              <w:rPr>
                <w:rFonts w:asciiTheme="majorHAnsi" w:hAnsiTheme="majorHAnsi" w:cstheme="majorHAnsi"/>
                <w:noProof w:val="0"/>
                <w:sz w:val="16"/>
                <w:szCs w:val="16"/>
              </w:rPr>
              <w:t>20</w:t>
            </w:r>
          </w:p>
        </w:tc>
        <w:tc>
          <w:tcPr>
            <w:tcW w:w="1170" w:type="dxa"/>
            <w:vAlign w:val="center"/>
          </w:tcPr>
          <w:p w14:paraId="1C654A5A" w14:textId="4AC23DED"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OP-703: B.9 Natural Habitats and Cultural Sites</w:t>
            </w:r>
          </w:p>
        </w:tc>
        <w:tc>
          <w:tcPr>
            <w:tcW w:w="1440" w:type="dxa"/>
            <w:vAlign w:val="center"/>
          </w:tcPr>
          <w:p w14:paraId="383DDD92" w14:textId="1D6FA95D"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Management of impacts and risks related to Natural habitat and cultural sites </w:t>
            </w:r>
          </w:p>
        </w:tc>
        <w:tc>
          <w:tcPr>
            <w:tcW w:w="3330" w:type="dxa"/>
            <w:vAlign w:val="center"/>
          </w:tcPr>
          <w:p w14:paraId="6E78BF4F" w14:textId="329697D5" w:rsidR="00557B81" w:rsidRPr="004E517D"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St Vincent: Parrot survey </w:t>
            </w:r>
            <w:r>
              <w:rPr>
                <w:rFonts w:asciiTheme="majorHAnsi" w:hAnsiTheme="majorHAnsi" w:cstheme="majorHAnsi"/>
                <w:noProof w:val="0"/>
                <w:sz w:val="16"/>
                <w:szCs w:val="16"/>
              </w:rPr>
              <w:t xml:space="preserve">satisfactorily </w:t>
            </w:r>
            <w:r w:rsidRPr="004E517D">
              <w:rPr>
                <w:rFonts w:asciiTheme="majorHAnsi" w:hAnsiTheme="majorHAnsi" w:cstheme="majorHAnsi"/>
                <w:noProof w:val="0"/>
                <w:sz w:val="16"/>
                <w:szCs w:val="16"/>
              </w:rPr>
              <w:t xml:space="preserve">undertaken in 2016, </w:t>
            </w:r>
            <w:r w:rsidR="000475FC">
              <w:rPr>
                <w:rFonts w:asciiTheme="majorHAnsi" w:hAnsiTheme="majorHAnsi" w:cstheme="majorHAnsi"/>
                <w:noProof w:val="0"/>
                <w:sz w:val="16"/>
                <w:szCs w:val="16"/>
              </w:rPr>
              <w:t xml:space="preserve">but not continued by the </w:t>
            </w:r>
            <w:proofErr w:type="spellStart"/>
            <w:r w:rsidR="000475FC">
              <w:rPr>
                <w:rFonts w:asciiTheme="majorHAnsi" w:hAnsiTheme="majorHAnsi" w:cstheme="majorHAnsi"/>
                <w:noProof w:val="0"/>
                <w:sz w:val="16"/>
                <w:szCs w:val="16"/>
              </w:rPr>
              <w:t>GoSV</w:t>
            </w:r>
            <w:proofErr w:type="spellEnd"/>
            <w:r w:rsidR="00DD6EB5">
              <w:rPr>
                <w:rFonts w:asciiTheme="majorHAnsi" w:hAnsiTheme="majorHAnsi" w:cstheme="majorHAnsi"/>
                <w:noProof w:val="0"/>
                <w:sz w:val="16"/>
                <w:szCs w:val="16"/>
              </w:rPr>
              <w:t>. Since the project will not be developed further</w:t>
            </w:r>
            <w:r w:rsidRPr="004E517D">
              <w:rPr>
                <w:rFonts w:asciiTheme="majorHAnsi" w:hAnsiTheme="majorHAnsi" w:cstheme="majorHAnsi"/>
                <w:noProof w:val="0"/>
                <w:sz w:val="16"/>
                <w:szCs w:val="16"/>
              </w:rPr>
              <w:t xml:space="preserve">, an assessment </w:t>
            </w:r>
            <w:r w:rsidR="00DD6EB5">
              <w:rPr>
                <w:rFonts w:asciiTheme="majorHAnsi" w:hAnsiTheme="majorHAnsi" w:cstheme="majorHAnsi"/>
                <w:noProof w:val="0"/>
                <w:sz w:val="16"/>
                <w:szCs w:val="16"/>
              </w:rPr>
              <w:t>of</w:t>
            </w:r>
            <w:r w:rsidRPr="004E517D">
              <w:rPr>
                <w:rFonts w:asciiTheme="majorHAnsi" w:hAnsiTheme="majorHAnsi" w:cstheme="majorHAnsi"/>
                <w:noProof w:val="0"/>
                <w:sz w:val="16"/>
                <w:szCs w:val="16"/>
              </w:rPr>
              <w:t xml:space="preserve"> alternatives for transmission line</w:t>
            </w:r>
            <w:r w:rsidR="00DD6EB5">
              <w:rPr>
                <w:rFonts w:asciiTheme="majorHAnsi" w:hAnsiTheme="majorHAnsi" w:cstheme="majorHAnsi"/>
                <w:noProof w:val="0"/>
                <w:sz w:val="16"/>
                <w:szCs w:val="16"/>
              </w:rPr>
              <w:t xml:space="preserve"> will not be required anymore</w:t>
            </w:r>
          </w:p>
        </w:tc>
        <w:tc>
          <w:tcPr>
            <w:tcW w:w="990" w:type="dxa"/>
            <w:vAlign w:val="center"/>
          </w:tcPr>
          <w:p w14:paraId="2950279F" w14:textId="3FE024F7"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SVGCL</w:t>
            </w:r>
          </w:p>
        </w:tc>
        <w:tc>
          <w:tcPr>
            <w:tcW w:w="990" w:type="dxa"/>
            <w:vAlign w:val="center"/>
          </w:tcPr>
          <w:p w14:paraId="030CC439" w14:textId="7F04F964" w:rsidR="00557B81" w:rsidRPr="004E517D" w:rsidRDefault="00AE1180"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N</w:t>
            </w:r>
            <w:r w:rsidR="000475FC">
              <w:rPr>
                <w:rFonts w:asciiTheme="majorHAnsi" w:hAnsiTheme="majorHAnsi" w:cstheme="majorHAnsi"/>
                <w:noProof w:val="0"/>
                <w:sz w:val="16"/>
                <w:szCs w:val="16"/>
              </w:rPr>
              <w:t>/A</w:t>
            </w:r>
          </w:p>
        </w:tc>
        <w:tc>
          <w:tcPr>
            <w:tcW w:w="1080" w:type="dxa"/>
            <w:vAlign w:val="center"/>
          </w:tcPr>
          <w:p w14:paraId="09BE0108" w14:textId="7CE069E2" w:rsidR="00557B81" w:rsidRPr="004E517D" w:rsidRDefault="000475FC"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N/A</w:t>
            </w:r>
          </w:p>
        </w:tc>
        <w:tc>
          <w:tcPr>
            <w:tcW w:w="1710" w:type="dxa"/>
            <w:vAlign w:val="center"/>
          </w:tcPr>
          <w:p w14:paraId="3694E03E" w14:textId="28CDC9A1"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3C2610AC" w14:textId="79BCEC24"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PS</w:t>
            </w:r>
          </w:p>
        </w:tc>
      </w:tr>
      <w:tr w:rsidR="00557B81" w:rsidRPr="004F0961" w14:paraId="39B4127D" w14:textId="1B5A6097" w:rsidTr="002169E7">
        <w:trPr>
          <w:trHeight w:val="521"/>
          <w:jc w:val="center"/>
        </w:trPr>
        <w:tc>
          <w:tcPr>
            <w:tcW w:w="1165" w:type="dxa"/>
            <w:vAlign w:val="center"/>
          </w:tcPr>
          <w:p w14:paraId="04FCF712" w14:textId="1F1F93B1"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lastRenderedPageBreak/>
              <w:t>10/25/2019</w:t>
            </w:r>
          </w:p>
        </w:tc>
        <w:tc>
          <w:tcPr>
            <w:tcW w:w="1170" w:type="dxa"/>
            <w:vAlign w:val="center"/>
          </w:tcPr>
          <w:p w14:paraId="557ED16E" w14:textId="42E56EFD"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OP-703: B.10</w:t>
            </w:r>
          </w:p>
          <w:p w14:paraId="1F1C7C74" w14:textId="7F6545C1" w:rsidR="00557B81" w:rsidRPr="00557C0B"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Hazardous </w:t>
            </w:r>
            <w:r w:rsidRPr="00557C0B">
              <w:rPr>
                <w:rFonts w:asciiTheme="majorHAnsi" w:hAnsiTheme="majorHAnsi" w:cstheme="majorHAnsi"/>
                <w:noProof w:val="0"/>
                <w:sz w:val="16"/>
                <w:szCs w:val="16"/>
              </w:rPr>
              <w:t>Materials</w:t>
            </w:r>
          </w:p>
        </w:tc>
        <w:tc>
          <w:tcPr>
            <w:tcW w:w="1440" w:type="dxa"/>
            <w:vAlign w:val="center"/>
          </w:tcPr>
          <w:p w14:paraId="532FADE3" w14:textId="5FC105B6"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Management of impacts and risks related to Hazardous waste management</w:t>
            </w:r>
          </w:p>
        </w:tc>
        <w:tc>
          <w:tcPr>
            <w:tcW w:w="3330" w:type="dxa"/>
            <w:vAlign w:val="center"/>
          </w:tcPr>
          <w:p w14:paraId="7ECEEBAA" w14:textId="484B0D58" w:rsidR="00557B81" w:rsidRPr="004E517D"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St Vincent: Hazardous wastes adequately stored and collected</w:t>
            </w:r>
            <w:r>
              <w:rPr>
                <w:rFonts w:asciiTheme="majorHAnsi" w:hAnsiTheme="majorHAnsi" w:cstheme="majorHAnsi"/>
                <w:noProof w:val="0"/>
                <w:sz w:val="16"/>
                <w:szCs w:val="16"/>
              </w:rPr>
              <w:t>, according to previous supervision. Due to the pandemic, site visits were not possible</w:t>
            </w:r>
            <w:r w:rsidR="004C07F8">
              <w:rPr>
                <w:rFonts w:asciiTheme="majorHAnsi" w:hAnsiTheme="majorHAnsi" w:cstheme="majorHAnsi"/>
                <w:noProof w:val="0"/>
                <w:sz w:val="16"/>
                <w:szCs w:val="16"/>
              </w:rPr>
              <w:t xml:space="preserve">. </w:t>
            </w:r>
            <w:r>
              <w:rPr>
                <w:rFonts w:asciiTheme="majorHAnsi" w:hAnsiTheme="majorHAnsi" w:cstheme="majorHAnsi"/>
                <w:noProof w:val="0"/>
                <w:sz w:val="16"/>
                <w:szCs w:val="16"/>
              </w:rPr>
              <w:t xml:space="preserve">The same </w:t>
            </w:r>
            <w:r w:rsidR="000475FC">
              <w:rPr>
                <w:rFonts w:asciiTheme="majorHAnsi" w:hAnsiTheme="majorHAnsi" w:cstheme="majorHAnsi"/>
                <w:noProof w:val="0"/>
                <w:sz w:val="16"/>
                <w:szCs w:val="16"/>
              </w:rPr>
              <w:t xml:space="preserve">performance rating for this item </w:t>
            </w:r>
            <w:r>
              <w:rPr>
                <w:rFonts w:asciiTheme="majorHAnsi" w:hAnsiTheme="majorHAnsi" w:cstheme="majorHAnsi"/>
                <w:noProof w:val="0"/>
                <w:sz w:val="16"/>
                <w:szCs w:val="16"/>
              </w:rPr>
              <w:t>was kept.</w:t>
            </w:r>
          </w:p>
        </w:tc>
        <w:tc>
          <w:tcPr>
            <w:tcW w:w="990" w:type="dxa"/>
            <w:vAlign w:val="center"/>
          </w:tcPr>
          <w:p w14:paraId="6333CAF2" w14:textId="14F6F638"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SVGCL</w:t>
            </w:r>
          </w:p>
        </w:tc>
        <w:tc>
          <w:tcPr>
            <w:tcW w:w="990" w:type="dxa"/>
            <w:vAlign w:val="center"/>
          </w:tcPr>
          <w:p w14:paraId="54FD9F39" w14:textId="493EDD89"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080" w:type="dxa"/>
            <w:vAlign w:val="center"/>
          </w:tcPr>
          <w:p w14:paraId="2957CDDF" w14:textId="74FA0F1B"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710" w:type="dxa"/>
            <w:vAlign w:val="center"/>
          </w:tcPr>
          <w:p w14:paraId="20D22A78" w14:textId="276A483A"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080" w:type="dxa"/>
            <w:vAlign w:val="center"/>
          </w:tcPr>
          <w:p w14:paraId="75384CFB" w14:textId="4B2A646D"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w:t>
            </w:r>
          </w:p>
        </w:tc>
      </w:tr>
      <w:tr w:rsidR="00557B81" w:rsidRPr="004F0961" w14:paraId="44986063" w14:textId="0BEE2802" w:rsidTr="002169E7">
        <w:trPr>
          <w:trHeight w:val="629"/>
          <w:jc w:val="center"/>
        </w:trPr>
        <w:tc>
          <w:tcPr>
            <w:tcW w:w="1165" w:type="dxa"/>
            <w:vAlign w:val="center"/>
          </w:tcPr>
          <w:p w14:paraId="2F777FFB" w14:textId="057C1F1A"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10/</w:t>
            </w:r>
            <w:r>
              <w:rPr>
                <w:rFonts w:asciiTheme="majorHAnsi" w:hAnsiTheme="majorHAnsi" w:cstheme="majorHAnsi"/>
                <w:noProof w:val="0"/>
                <w:sz w:val="16"/>
                <w:szCs w:val="16"/>
              </w:rPr>
              <w:t>1</w:t>
            </w:r>
            <w:r w:rsidRPr="004E517D">
              <w:rPr>
                <w:rFonts w:asciiTheme="majorHAnsi" w:hAnsiTheme="majorHAnsi" w:cstheme="majorHAnsi"/>
                <w:noProof w:val="0"/>
                <w:sz w:val="16"/>
                <w:szCs w:val="16"/>
              </w:rPr>
              <w:t>5/20</w:t>
            </w:r>
            <w:r>
              <w:rPr>
                <w:rFonts w:asciiTheme="majorHAnsi" w:hAnsiTheme="majorHAnsi" w:cstheme="majorHAnsi"/>
                <w:noProof w:val="0"/>
                <w:sz w:val="16"/>
                <w:szCs w:val="16"/>
              </w:rPr>
              <w:t>20</w:t>
            </w:r>
          </w:p>
        </w:tc>
        <w:tc>
          <w:tcPr>
            <w:tcW w:w="1170" w:type="dxa"/>
            <w:vAlign w:val="center"/>
          </w:tcPr>
          <w:p w14:paraId="7D0477B7" w14:textId="60D5DF32"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OP-703: B.11</w:t>
            </w:r>
          </w:p>
          <w:p w14:paraId="66CE6869" w14:textId="77EE1713"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Pollution Prevention and Abatement</w:t>
            </w:r>
          </w:p>
        </w:tc>
        <w:tc>
          <w:tcPr>
            <w:tcW w:w="1440" w:type="dxa"/>
            <w:vAlign w:val="center"/>
          </w:tcPr>
          <w:p w14:paraId="0668FAF1" w14:textId="3B996C54" w:rsidR="00557B81" w:rsidRPr="00557C0B" w:rsidRDefault="00557B81" w:rsidP="00557B81">
            <w:pPr>
              <w:jc w:val="center"/>
              <w:rPr>
                <w:rFonts w:asciiTheme="majorHAnsi" w:hAnsiTheme="majorHAnsi" w:cstheme="majorHAnsi"/>
                <w:noProof w:val="0"/>
                <w:sz w:val="16"/>
                <w:szCs w:val="16"/>
              </w:rPr>
            </w:pPr>
            <w:r w:rsidRPr="00557C0B">
              <w:rPr>
                <w:rFonts w:asciiTheme="majorHAnsi" w:hAnsiTheme="majorHAnsi" w:cstheme="majorHAnsi"/>
                <w:noProof w:val="0"/>
                <w:sz w:val="16"/>
                <w:szCs w:val="16"/>
              </w:rPr>
              <w:t>Management of impacts and risks related to generation of pollutants</w:t>
            </w:r>
          </w:p>
        </w:tc>
        <w:tc>
          <w:tcPr>
            <w:tcW w:w="3330" w:type="dxa"/>
            <w:vAlign w:val="center"/>
          </w:tcPr>
          <w:p w14:paraId="7C5FEAF0" w14:textId="024BC7C2" w:rsidR="00557B81" w:rsidRPr="004E517D"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St Vincent: </w:t>
            </w:r>
            <w:r>
              <w:rPr>
                <w:rFonts w:asciiTheme="majorHAnsi" w:hAnsiTheme="majorHAnsi" w:cstheme="majorHAnsi"/>
                <w:noProof w:val="0"/>
                <w:sz w:val="16"/>
                <w:szCs w:val="16"/>
              </w:rPr>
              <w:t xml:space="preserve">there was considerable delay in starting </w:t>
            </w:r>
            <w:r w:rsidRPr="004E517D">
              <w:rPr>
                <w:rFonts w:asciiTheme="majorHAnsi" w:hAnsiTheme="majorHAnsi" w:cstheme="majorHAnsi"/>
                <w:noProof w:val="0"/>
                <w:sz w:val="16"/>
                <w:szCs w:val="16"/>
              </w:rPr>
              <w:t>water quality monitoring</w:t>
            </w:r>
            <w:r>
              <w:rPr>
                <w:rFonts w:asciiTheme="majorHAnsi" w:hAnsiTheme="majorHAnsi" w:cstheme="majorHAnsi"/>
                <w:noProof w:val="0"/>
                <w:sz w:val="16"/>
                <w:szCs w:val="16"/>
              </w:rPr>
              <w:t xml:space="preserve">, </w:t>
            </w:r>
            <w:r w:rsidR="004C07F8">
              <w:rPr>
                <w:rFonts w:asciiTheme="majorHAnsi" w:hAnsiTheme="majorHAnsi" w:cstheme="majorHAnsi"/>
                <w:noProof w:val="0"/>
                <w:sz w:val="16"/>
                <w:szCs w:val="16"/>
              </w:rPr>
              <w:t>further delayed again during the</w:t>
            </w:r>
            <w:r>
              <w:rPr>
                <w:rFonts w:asciiTheme="majorHAnsi" w:hAnsiTheme="majorHAnsi" w:cstheme="majorHAnsi"/>
                <w:noProof w:val="0"/>
                <w:sz w:val="16"/>
                <w:szCs w:val="16"/>
              </w:rPr>
              <w:t xml:space="preserve"> Covid-19 pandemic, </w:t>
            </w:r>
            <w:r w:rsidR="004C07F8">
              <w:rPr>
                <w:rFonts w:asciiTheme="majorHAnsi" w:hAnsiTheme="majorHAnsi" w:cstheme="majorHAnsi"/>
                <w:noProof w:val="0"/>
                <w:sz w:val="16"/>
                <w:szCs w:val="16"/>
              </w:rPr>
              <w:t xml:space="preserve">as </w:t>
            </w:r>
            <w:r>
              <w:rPr>
                <w:rFonts w:asciiTheme="majorHAnsi" w:hAnsiTheme="majorHAnsi" w:cstheme="majorHAnsi"/>
                <w:noProof w:val="0"/>
                <w:sz w:val="16"/>
                <w:szCs w:val="16"/>
              </w:rPr>
              <w:t xml:space="preserve">governmental </w:t>
            </w:r>
            <w:r w:rsidR="004C07F8">
              <w:rPr>
                <w:rFonts w:asciiTheme="majorHAnsi" w:hAnsiTheme="majorHAnsi" w:cstheme="majorHAnsi"/>
                <w:noProof w:val="0"/>
                <w:sz w:val="16"/>
                <w:szCs w:val="16"/>
              </w:rPr>
              <w:t>laboratories are</w:t>
            </w:r>
            <w:r>
              <w:rPr>
                <w:rFonts w:asciiTheme="majorHAnsi" w:hAnsiTheme="majorHAnsi" w:cstheme="majorHAnsi"/>
                <w:noProof w:val="0"/>
                <w:sz w:val="16"/>
                <w:szCs w:val="16"/>
              </w:rPr>
              <w:t xml:space="preserve"> not fully functional. As a result of several meetings with CDB and IDB, SVGCL agreed to send the samples to a laboratory overseas, and the results were presented to the IDB and CDB. It is important that water quality continues to </w:t>
            </w:r>
            <w:r w:rsidR="00C3563D">
              <w:rPr>
                <w:rFonts w:asciiTheme="majorHAnsi" w:hAnsiTheme="majorHAnsi" w:cstheme="majorHAnsi"/>
                <w:noProof w:val="0"/>
                <w:sz w:val="16"/>
                <w:szCs w:val="16"/>
              </w:rPr>
              <w:t>b</w:t>
            </w:r>
            <w:r>
              <w:rPr>
                <w:rFonts w:asciiTheme="majorHAnsi" w:hAnsiTheme="majorHAnsi" w:cstheme="majorHAnsi"/>
                <w:noProof w:val="0"/>
                <w:sz w:val="16"/>
                <w:szCs w:val="16"/>
              </w:rPr>
              <w:t>e monitored through demobilization</w:t>
            </w:r>
          </w:p>
        </w:tc>
        <w:tc>
          <w:tcPr>
            <w:tcW w:w="990" w:type="dxa"/>
            <w:vAlign w:val="center"/>
          </w:tcPr>
          <w:p w14:paraId="06C4F7E5" w14:textId="39CE335F"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SVGCL</w:t>
            </w:r>
          </w:p>
        </w:tc>
        <w:tc>
          <w:tcPr>
            <w:tcW w:w="990" w:type="dxa"/>
            <w:vAlign w:val="center"/>
          </w:tcPr>
          <w:p w14:paraId="4D66C5A9" w14:textId="3695872C"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October 2019</w:t>
            </w:r>
          </w:p>
        </w:tc>
        <w:tc>
          <w:tcPr>
            <w:tcW w:w="1080" w:type="dxa"/>
            <w:vAlign w:val="center"/>
          </w:tcPr>
          <w:p w14:paraId="13F2CAA8" w14:textId="216F7DA6"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SVGCL Reports</w:t>
            </w:r>
          </w:p>
        </w:tc>
        <w:tc>
          <w:tcPr>
            <w:tcW w:w="1710" w:type="dxa"/>
            <w:vAlign w:val="center"/>
          </w:tcPr>
          <w:p w14:paraId="7AB9CA72" w14:textId="2B5C5811"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Ongoing</w:t>
            </w:r>
          </w:p>
        </w:tc>
        <w:tc>
          <w:tcPr>
            <w:tcW w:w="1080" w:type="dxa"/>
            <w:vAlign w:val="center"/>
          </w:tcPr>
          <w:p w14:paraId="4A817AB7" w14:textId="10AB448B"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S</w:t>
            </w:r>
          </w:p>
        </w:tc>
      </w:tr>
      <w:tr w:rsidR="00557B81" w:rsidRPr="004F0961" w14:paraId="7D9A36C7" w14:textId="77777777" w:rsidTr="002169E7">
        <w:trPr>
          <w:trHeight w:val="620"/>
          <w:jc w:val="center"/>
        </w:trPr>
        <w:tc>
          <w:tcPr>
            <w:tcW w:w="1165" w:type="dxa"/>
            <w:vAlign w:val="center"/>
          </w:tcPr>
          <w:p w14:paraId="61A64714" w14:textId="3441AF31"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10/</w:t>
            </w:r>
            <w:r w:rsidR="00147BC3">
              <w:rPr>
                <w:rFonts w:asciiTheme="majorHAnsi" w:hAnsiTheme="majorHAnsi" w:cstheme="majorHAnsi"/>
                <w:noProof w:val="0"/>
                <w:sz w:val="16"/>
                <w:szCs w:val="16"/>
              </w:rPr>
              <w:t>1</w:t>
            </w:r>
            <w:r w:rsidRPr="004E517D">
              <w:rPr>
                <w:rFonts w:asciiTheme="majorHAnsi" w:hAnsiTheme="majorHAnsi" w:cstheme="majorHAnsi"/>
                <w:noProof w:val="0"/>
                <w:sz w:val="16"/>
                <w:szCs w:val="16"/>
              </w:rPr>
              <w:t>5/20</w:t>
            </w:r>
            <w:r w:rsidR="00147BC3">
              <w:rPr>
                <w:rFonts w:asciiTheme="majorHAnsi" w:hAnsiTheme="majorHAnsi" w:cstheme="majorHAnsi"/>
                <w:noProof w:val="0"/>
                <w:sz w:val="16"/>
                <w:szCs w:val="16"/>
              </w:rPr>
              <w:t>20</w:t>
            </w:r>
          </w:p>
        </w:tc>
        <w:tc>
          <w:tcPr>
            <w:tcW w:w="1170" w:type="dxa"/>
            <w:vAlign w:val="center"/>
          </w:tcPr>
          <w:p w14:paraId="4301A980" w14:textId="4DFD9729"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OP-703: B.13 Flexible Lending instruments</w:t>
            </w:r>
          </w:p>
        </w:tc>
        <w:tc>
          <w:tcPr>
            <w:tcW w:w="1440" w:type="dxa"/>
            <w:vAlign w:val="center"/>
          </w:tcPr>
          <w:p w14:paraId="31D0682C" w14:textId="76674DC1"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ESMS requirements (ROP)</w:t>
            </w:r>
          </w:p>
        </w:tc>
        <w:tc>
          <w:tcPr>
            <w:tcW w:w="3330" w:type="dxa"/>
            <w:vAlign w:val="center"/>
          </w:tcPr>
          <w:p w14:paraId="23391D34" w14:textId="11656C5A" w:rsidR="00557B81" w:rsidRPr="004E517D"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CDB is executing the process for </w:t>
            </w:r>
            <w:proofErr w:type="gramStart"/>
            <w:r w:rsidRPr="004E517D">
              <w:rPr>
                <w:rFonts w:asciiTheme="majorHAnsi" w:hAnsiTheme="majorHAnsi" w:cstheme="majorHAnsi"/>
                <w:noProof w:val="0"/>
                <w:sz w:val="16"/>
                <w:szCs w:val="16"/>
              </w:rPr>
              <w:t>hand-in-hand</w:t>
            </w:r>
            <w:proofErr w:type="gramEnd"/>
            <w:r w:rsidRPr="004E517D">
              <w:rPr>
                <w:rFonts w:asciiTheme="majorHAnsi" w:hAnsiTheme="majorHAnsi" w:cstheme="majorHAnsi"/>
                <w:noProof w:val="0"/>
                <w:sz w:val="16"/>
                <w:szCs w:val="16"/>
              </w:rPr>
              <w:t xml:space="preserve"> due diligence agreed to with the IDB with the </w:t>
            </w:r>
            <w:r>
              <w:rPr>
                <w:rFonts w:asciiTheme="majorHAnsi" w:hAnsiTheme="majorHAnsi" w:cstheme="majorHAnsi"/>
                <w:noProof w:val="0"/>
                <w:sz w:val="16"/>
                <w:szCs w:val="16"/>
              </w:rPr>
              <w:t>Operational manual (which outlines the environmental and social procedures). Notwithstanding this, CDB is in most projects not keeping pace with the preparation steps (i.e. ESIA for new subprojects should be reviewed by CDB, then IDB, whereas in the case of Nevis, IDB reviewed and provided comments, and CDB took 5 months to review, jeopardizing potential financing of this project – see previous supervision report). In the case of Nevis supplemental ESIA, IDB continues to drive the due diligence, with CDB delaying review times due to lack of proactiveness (as a note, NREI also has taken long times to review and return the draft documents to the consultants).</w:t>
            </w:r>
          </w:p>
        </w:tc>
        <w:tc>
          <w:tcPr>
            <w:tcW w:w="990" w:type="dxa"/>
            <w:shd w:val="clear" w:color="auto" w:fill="auto"/>
            <w:vAlign w:val="center"/>
          </w:tcPr>
          <w:p w14:paraId="612216BA" w14:textId="383555AF"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CDB</w:t>
            </w:r>
          </w:p>
        </w:tc>
        <w:tc>
          <w:tcPr>
            <w:tcW w:w="990" w:type="dxa"/>
            <w:shd w:val="clear" w:color="auto" w:fill="auto"/>
            <w:vAlign w:val="center"/>
          </w:tcPr>
          <w:p w14:paraId="73CEB84E" w14:textId="7124F469"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shd w:val="clear" w:color="auto" w:fill="auto"/>
            <w:vAlign w:val="center"/>
          </w:tcPr>
          <w:p w14:paraId="5C818743" w14:textId="31C1582E" w:rsidR="00557B81" w:rsidRPr="00557C0B" w:rsidRDefault="00557B81" w:rsidP="00557B81">
            <w:pPr>
              <w:jc w:val="center"/>
              <w:rPr>
                <w:rFonts w:asciiTheme="majorHAnsi" w:hAnsiTheme="majorHAnsi" w:cstheme="majorHAnsi"/>
                <w:noProof w:val="0"/>
                <w:sz w:val="16"/>
                <w:szCs w:val="16"/>
              </w:rPr>
            </w:pPr>
            <w:r w:rsidRPr="00557C0B">
              <w:rPr>
                <w:rFonts w:asciiTheme="majorHAnsi" w:hAnsiTheme="majorHAnsi" w:cstheme="majorHAnsi"/>
                <w:noProof w:val="0"/>
                <w:sz w:val="16"/>
                <w:szCs w:val="16"/>
              </w:rPr>
              <w:t>N/A</w:t>
            </w:r>
          </w:p>
        </w:tc>
        <w:tc>
          <w:tcPr>
            <w:tcW w:w="1710" w:type="dxa"/>
            <w:shd w:val="clear" w:color="auto" w:fill="auto"/>
            <w:vAlign w:val="center"/>
          </w:tcPr>
          <w:p w14:paraId="702F0A27" w14:textId="6160B640"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shd w:val="clear" w:color="auto" w:fill="auto"/>
            <w:vAlign w:val="center"/>
          </w:tcPr>
          <w:p w14:paraId="57A55AD3" w14:textId="303B0856" w:rsidR="00557B81" w:rsidRPr="004E517D" w:rsidRDefault="000475FC"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PU</w:t>
            </w:r>
          </w:p>
        </w:tc>
      </w:tr>
      <w:tr w:rsidR="00557B81" w:rsidRPr="004F0961" w14:paraId="2D53EB01" w14:textId="77777777" w:rsidTr="002169E7">
        <w:trPr>
          <w:trHeight w:val="620"/>
          <w:jc w:val="center"/>
        </w:trPr>
        <w:tc>
          <w:tcPr>
            <w:tcW w:w="1165" w:type="dxa"/>
            <w:vAlign w:val="center"/>
          </w:tcPr>
          <w:p w14:paraId="32B3E1D3" w14:textId="2AD8136D" w:rsidR="00557B81" w:rsidRPr="004E517D" w:rsidRDefault="00557B81" w:rsidP="00557B81">
            <w:pPr>
              <w:jc w:val="center"/>
              <w:rPr>
                <w:rFonts w:asciiTheme="majorHAnsi" w:hAnsiTheme="majorHAnsi" w:cstheme="majorHAnsi"/>
                <w:noProof w:val="0"/>
                <w:sz w:val="16"/>
                <w:szCs w:val="16"/>
                <w:highlight w:val="yellow"/>
              </w:rPr>
            </w:pPr>
            <w:r w:rsidRPr="004E517D">
              <w:rPr>
                <w:rFonts w:asciiTheme="majorHAnsi" w:hAnsiTheme="majorHAnsi" w:cstheme="majorHAnsi"/>
                <w:noProof w:val="0"/>
                <w:sz w:val="16"/>
                <w:szCs w:val="16"/>
              </w:rPr>
              <w:t>10/</w:t>
            </w:r>
            <w:r w:rsidR="00DA3694">
              <w:rPr>
                <w:rFonts w:asciiTheme="majorHAnsi" w:hAnsiTheme="majorHAnsi" w:cstheme="majorHAnsi"/>
                <w:noProof w:val="0"/>
                <w:sz w:val="16"/>
                <w:szCs w:val="16"/>
              </w:rPr>
              <w:t>1</w:t>
            </w:r>
            <w:r w:rsidRPr="004E517D">
              <w:rPr>
                <w:rFonts w:asciiTheme="majorHAnsi" w:hAnsiTheme="majorHAnsi" w:cstheme="majorHAnsi"/>
                <w:noProof w:val="0"/>
                <w:sz w:val="16"/>
                <w:szCs w:val="16"/>
              </w:rPr>
              <w:t>5/20</w:t>
            </w:r>
            <w:r w:rsidR="00DA3694">
              <w:rPr>
                <w:rFonts w:asciiTheme="majorHAnsi" w:hAnsiTheme="majorHAnsi" w:cstheme="majorHAnsi"/>
                <w:noProof w:val="0"/>
                <w:sz w:val="16"/>
                <w:szCs w:val="16"/>
              </w:rPr>
              <w:t>20</w:t>
            </w:r>
          </w:p>
        </w:tc>
        <w:tc>
          <w:tcPr>
            <w:tcW w:w="1170" w:type="dxa"/>
            <w:vAlign w:val="center"/>
          </w:tcPr>
          <w:p w14:paraId="39EB3019" w14:textId="003E4DB0"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OP-704: Disaster Risk Management</w:t>
            </w:r>
          </w:p>
        </w:tc>
        <w:tc>
          <w:tcPr>
            <w:tcW w:w="1440" w:type="dxa"/>
            <w:vAlign w:val="center"/>
          </w:tcPr>
          <w:p w14:paraId="0EA0FDC3" w14:textId="5F9A2E9E"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DRM</w:t>
            </w:r>
          </w:p>
        </w:tc>
        <w:tc>
          <w:tcPr>
            <w:tcW w:w="3330" w:type="dxa"/>
            <w:vAlign w:val="center"/>
          </w:tcPr>
          <w:p w14:paraId="5133CAAD" w14:textId="19A0B760" w:rsidR="00557B81" w:rsidRPr="004E517D" w:rsidRDefault="00557B81" w:rsidP="00557B81">
            <w:pPr>
              <w:rPr>
                <w:rFonts w:asciiTheme="majorHAnsi" w:hAnsiTheme="majorHAnsi" w:cstheme="majorHAnsi"/>
                <w:noProof w:val="0"/>
                <w:sz w:val="16"/>
                <w:szCs w:val="16"/>
              </w:rPr>
            </w:pPr>
            <w:r>
              <w:rPr>
                <w:rFonts w:asciiTheme="majorHAnsi" w:hAnsiTheme="majorHAnsi" w:cstheme="majorHAnsi"/>
                <w:noProof w:val="0"/>
                <w:sz w:val="16"/>
                <w:szCs w:val="16"/>
              </w:rPr>
              <w:t xml:space="preserve">St. Vincent </w:t>
            </w:r>
            <w:r w:rsidRPr="004E517D">
              <w:rPr>
                <w:rFonts w:asciiTheme="majorHAnsi" w:hAnsiTheme="majorHAnsi" w:cstheme="majorHAnsi"/>
                <w:noProof w:val="0"/>
                <w:sz w:val="16"/>
                <w:szCs w:val="16"/>
              </w:rPr>
              <w:t>Type 1. Area exposed to natural hazards. Contingency planning in place.</w:t>
            </w:r>
            <w:r>
              <w:rPr>
                <w:rFonts w:asciiTheme="majorHAnsi" w:hAnsiTheme="majorHAnsi" w:cstheme="majorHAnsi"/>
                <w:noProof w:val="0"/>
                <w:sz w:val="16"/>
                <w:szCs w:val="16"/>
              </w:rPr>
              <w:t xml:space="preserve"> A DRA was undertaken as part of the ESIA process, identifying hurricanes, landslides and volcanic eruptions and seismic events as hazards. An emergency response plan is in place. Type 2 was discussed (induced micro-seismicity) but not determined an issue in phase I (exploratory). It was expected that the ESIA for Phase 2 (production) would need to address </w:t>
            </w:r>
            <w:r>
              <w:rPr>
                <w:rFonts w:asciiTheme="majorHAnsi" w:hAnsiTheme="majorHAnsi" w:cstheme="majorHAnsi"/>
                <w:noProof w:val="0"/>
                <w:sz w:val="16"/>
                <w:szCs w:val="16"/>
              </w:rPr>
              <w:lastRenderedPageBreak/>
              <w:t>this in more detail and introduce a seismic monitoring program prior to production, however since the geothermal resources found were not adequate, the project is not expected to move into the production phase.</w:t>
            </w:r>
            <w:r w:rsidR="004C07F8">
              <w:rPr>
                <w:rFonts w:asciiTheme="majorHAnsi" w:hAnsiTheme="majorHAnsi" w:cstheme="majorHAnsi"/>
                <w:noProof w:val="0"/>
                <w:sz w:val="16"/>
                <w:szCs w:val="16"/>
              </w:rPr>
              <w:t xml:space="preserve"> </w:t>
            </w:r>
            <w:r>
              <w:rPr>
                <w:rFonts w:asciiTheme="majorHAnsi" w:hAnsiTheme="majorHAnsi" w:cstheme="majorHAnsi"/>
                <w:noProof w:val="0"/>
                <w:sz w:val="16"/>
                <w:szCs w:val="16"/>
              </w:rPr>
              <w:t>ESHS Closure plan expected to make adequate provisions.</w:t>
            </w:r>
          </w:p>
        </w:tc>
        <w:tc>
          <w:tcPr>
            <w:tcW w:w="990" w:type="dxa"/>
            <w:vAlign w:val="center"/>
          </w:tcPr>
          <w:p w14:paraId="4AF32876" w14:textId="6B48DAE6"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lastRenderedPageBreak/>
              <w:t>SVGCL</w:t>
            </w:r>
          </w:p>
        </w:tc>
        <w:tc>
          <w:tcPr>
            <w:tcW w:w="990" w:type="dxa"/>
            <w:vAlign w:val="center"/>
          </w:tcPr>
          <w:p w14:paraId="6D6419FF" w14:textId="19900612"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34463164" w14:textId="31A1CFF3"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710" w:type="dxa"/>
            <w:vAlign w:val="center"/>
          </w:tcPr>
          <w:p w14:paraId="03E19695" w14:textId="4545AE04"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005A9006" w14:textId="29863BBD"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w:t>
            </w:r>
          </w:p>
        </w:tc>
      </w:tr>
      <w:tr w:rsidR="00557B81" w:rsidRPr="004F0961" w14:paraId="3E4776F1" w14:textId="77777777" w:rsidTr="002169E7">
        <w:trPr>
          <w:trHeight w:val="620"/>
          <w:jc w:val="center"/>
        </w:trPr>
        <w:tc>
          <w:tcPr>
            <w:tcW w:w="1165" w:type="dxa"/>
            <w:vAlign w:val="center"/>
          </w:tcPr>
          <w:p w14:paraId="076B6161" w14:textId="0329ED76"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10/</w:t>
            </w:r>
            <w:r w:rsidR="005D0B93">
              <w:rPr>
                <w:rFonts w:asciiTheme="majorHAnsi" w:hAnsiTheme="majorHAnsi" w:cstheme="majorHAnsi"/>
                <w:noProof w:val="0"/>
                <w:sz w:val="16"/>
                <w:szCs w:val="16"/>
              </w:rPr>
              <w:t>1</w:t>
            </w:r>
            <w:r w:rsidRPr="004E517D">
              <w:rPr>
                <w:rFonts w:asciiTheme="majorHAnsi" w:hAnsiTheme="majorHAnsi" w:cstheme="majorHAnsi"/>
                <w:noProof w:val="0"/>
                <w:sz w:val="16"/>
                <w:szCs w:val="16"/>
              </w:rPr>
              <w:t>5/20</w:t>
            </w:r>
            <w:r w:rsidR="005D0B93">
              <w:rPr>
                <w:rFonts w:asciiTheme="majorHAnsi" w:hAnsiTheme="majorHAnsi" w:cstheme="majorHAnsi"/>
                <w:noProof w:val="0"/>
                <w:sz w:val="16"/>
                <w:szCs w:val="16"/>
              </w:rPr>
              <w:t>20</w:t>
            </w:r>
          </w:p>
        </w:tc>
        <w:tc>
          <w:tcPr>
            <w:tcW w:w="1170" w:type="dxa"/>
            <w:vAlign w:val="center"/>
          </w:tcPr>
          <w:p w14:paraId="3D838A33" w14:textId="13B5F406"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OP-710: Involuntary Resettlement</w:t>
            </w:r>
          </w:p>
        </w:tc>
        <w:tc>
          <w:tcPr>
            <w:tcW w:w="1440" w:type="dxa"/>
            <w:vAlign w:val="center"/>
          </w:tcPr>
          <w:p w14:paraId="7A5996B3" w14:textId="1015E4DA"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Physical and economic displacement </w:t>
            </w:r>
          </w:p>
        </w:tc>
        <w:tc>
          <w:tcPr>
            <w:tcW w:w="3330" w:type="dxa"/>
            <w:vAlign w:val="center"/>
          </w:tcPr>
          <w:p w14:paraId="59F73881" w14:textId="63BBA12F" w:rsidR="00557B81" w:rsidRPr="004E517D"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St. Vincent: </w:t>
            </w:r>
            <w:r w:rsidRPr="00284883">
              <w:rPr>
                <w:rFonts w:asciiTheme="majorHAnsi" w:hAnsiTheme="majorHAnsi" w:cstheme="majorHAnsi"/>
                <w:noProof w:val="0"/>
                <w:sz w:val="16"/>
                <w:szCs w:val="16"/>
              </w:rPr>
              <w:t>There were two resettlement cases still open in Q1 2020. Work continued during Q2 2020 to get land-leases approved and issued. Land-leases were finally issued and signed by both farmers. These were processed at SVG Registry, and payment made by SVGCL for a 2-year land-lease period for both farmers</w:t>
            </w:r>
            <w:r>
              <w:rPr>
                <w:rFonts w:asciiTheme="majorHAnsi" w:hAnsiTheme="majorHAnsi" w:cstheme="majorHAnsi"/>
                <w:noProof w:val="0"/>
                <w:sz w:val="16"/>
                <w:szCs w:val="16"/>
              </w:rPr>
              <w:t xml:space="preserve"> (they previously had no legally recognized right to the land they were occupying.  Based on a RAP completion report and questionnaire, it is reasonable to conclude that they have re-established their livelihoods. The</w:t>
            </w:r>
            <w:r w:rsidR="00C3563D">
              <w:rPr>
                <w:rFonts w:asciiTheme="majorHAnsi" w:hAnsiTheme="majorHAnsi" w:cstheme="majorHAnsi"/>
                <w:noProof w:val="0"/>
                <w:sz w:val="16"/>
                <w:szCs w:val="16"/>
              </w:rPr>
              <w:t>s</w:t>
            </w:r>
            <w:r>
              <w:rPr>
                <w:rFonts w:asciiTheme="majorHAnsi" w:hAnsiTheme="majorHAnsi" w:cstheme="majorHAnsi"/>
                <w:noProof w:val="0"/>
                <w:sz w:val="16"/>
                <w:szCs w:val="16"/>
              </w:rPr>
              <w:t>e two grievances which had been closed and recorded as resolved, while the grievant parties sustained that they did not agree with the compensation. Since the issue stemmed from improper implementation of RAP procedures for documentation of affectations, SVGCL decided to provide additional compensation based on the claimants’ claims. Compensation was accepted in writing and issues were closed to the satisfaction of the CDB and IDB.</w:t>
            </w:r>
          </w:p>
        </w:tc>
        <w:tc>
          <w:tcPr>
            <w:tcW w:w="990" w:type="dxa"/>
            <w:vAlign w:val="center"/>
          </w:tcPr>
          <w:p w14:paraId="7C3F80DB" w14:textId="46F53554"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SVGCL</w:t>
            </w:r>
          </w:p>
        </w:tc>
        <w:tc>
          <w:tcPr>
            <w:tcW w:w="990" w:type="dxa"/>
            <w:vAlign w:val="center"/>
          </w:tcPr>
          <w:p w14:paraId="2B3F4327" w14:textId="413A3C52"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N/A</w:t>
            </w:r>
          </w:p>
        </w:tc>
        <w:tc>
          <w:tcPr>
            <w:tcW w:w="1080" w:type="dxa"/>
            <w:vAlign w:val="center"/>
          </w:tcPr>
          <w:p w14:paraId="34FFF0BB" w14:textId="33A7DB55" w:rsidR="00557B81" w:rsidRPr="00B20D75" w:rsidRDefault="00557B81" w:rsidP="00557B81">
            <w:pPr>
              <w:jc w:val="center"/>
              <w:rPr>
                <w:rFonts w:asciiTheme="majorHAnsi" w:hAnsiTheme="majorHAnsi" w:cstheme="majorHAnsi"/>
                <w:noProof w:val="0"/>
                <w:sz w:val="16"/>
                <w:szCs w:val="16"/>
                <w:lang w:val="fr-FR"/>
              </w:rPr>
            </w:pPr>
            <w:r w:rsidRPr="00B20D75">
              <w:rPr>
                <w:rFonts w:asciiTheme="majorHAnsi" w:hAnsiTheme="majorHAnsi" w:cstheme="majorHAnsi"/>
                <w:noProof w:val="0"/>
                <w:sz w:val="16"/>
                <w:szCs w:val="16"/>
                <w:lang w:val="fr-FR"/>
              </w:rPr>
              <w:t xml:space="preserve">SVGCL reports, documentation </w:t>
            </w:r>
            <w:proofErr w:type="spellStart"/>
            <w:r w:rsidRPr="00B20D75">
              <w:rPr>
                <w:rFonts w:asciiTheme="majorHAnsi" w:hAnsiTheme="majorHAnsi" w:cstheme="majorHAnsi"/>
                <w:noProof w:val="0"/>
                <w:sz w:val="16"/>
                <w:szCs w:val="16"/>
                <w:lang w:val="fr-FR"/>
              </w:rPr>
              <w:t>demonstrating</w:t>
            </w:r>
            <w:proofErr w:type="spellEnd"/>
            <w:r w:rsidRPr="00B20D75">
              <w:rPr>
                <w:rFonts w:asciiTheme="majorHAnsi" w:hAnsiTheme="majorHAnsi" w:cstheme="majorHAnsi"/>
                <w:noProof w:val="0"/>
                <w:sz w:val="16"/>
                <w:szCs w:val="16"/>
                <w:lang w:val="fr-FR"/>
              </w:rPr>
              <w:t xml:space="preserve"> </w:t>
            </w:r>
            <w:proofErr w:type="spellStart"/>
            <w:r w:rsidRPr="00B20D75">
              <w:rPr>
                <w:rFonts w:asciiTheme="majorHAnsi" w:hAnsiTheme="majorHAnsi" w:cstheme="majorHAnsi"/>
                <w:noProof w:val="0"/>
                <w:sz w:val="16"/>
                <w:szCs w:val="16"/>
                <w:lang w:val="fr-FR"/>
              </w:rPr>
              <w:t>su</w:t>
            </w:r>
            <w:r>
              <w:rPr>
                <w:rFonts w:asciiTheme="majorHAnsi" w:hAnsiTheme="majorHAnsi" w:cstheme="majorHAnsi"/>
                <w:noProof w:val="0"/>
                <w:sz w:val="16"/>
                <w:szCs w:val="16"/>
                <w:lang w:val="fr-FR"/>
              </w:rPr>
              <w:t>ccesful</w:t>
            </w:r>
            <w:proofErr w:type="spellEnd"/>
            <w:r>
              <w:rPr>
                <w:rFonts w:asciiTheme="majorHAnsi" w:hAnsiTheme="majorHAnsi" w:cstheme="majorHAnsi"/>
                <w:noProof w:val="0"/>
                <w:sz w:val="16"/>
                <w:szCs w:val="16"/>
                <w:lang w:val="fr-FR"/>
              </w:rPr>
              <w:t xml:space="preserve"> </w:t>
            </w:r>
            <w:proofErr w:type="spellStart"/>
            <w:r>
              <w:rPr>
                <w:rFonts w:asciiTheme="majorHAnsi" w:hAnsiTheme="majorHAnsi" w:cstheme="majorHAnsi"/>
                <w:noProof w:val="0"/>
                <w:sz w:val="16"/>
                <w:szCs w:val="16"/>
                <w:lang w:val="fr-FR"/>
              </w:rPr>
              <w:t>resolution</w:t>
            </w:r>
            <w:proofErr w:type="spellEnd"/>
            <w:r>
              <w:rPr>
                <w:rFonts w:asciiTheme="majorHAnsi" w:hAnsiTheme="majorHAnsi" w:cstheme="majorHAnsi"/>
                <w:noProof w:val="0"/>
                <w:sz w:val="16"/>
                <w:szCs w:val="16"/>
                <w:lang w:val="fr-FR"/>
              </w:rPr>
              <w:t xml:space="preserve">, RAP </w:t>
            </w:r>
            <w:proofErr w:type="spellStart"/>
            <w:r>
              <w:rPr>
                <w:rFonts w:asciiTheme="majorHAnsi" w:hAnsiTheme="majorHAnsi" w:cstheme="majorHAnsi"/>
                <w:noProof w:val="0"/>
                <w:sz w:val="16"/>
                <w:szCs w:val="16"/>
                <w:lang w:val="fr-FR"/>
              </w:rPr>
              <w:t>completion</w:t>
            </w:r>
            <w:proofErr w:type="spellEnd"/>
            <w:r>
              <w:rPr>
                <w:rFonts w:asciiTheme="majorHAnsi" w:hAnsiTheme="majorHAnsi" w:cstheme="majorHAnsi"/>
                <w:noProof w:val="0"/>
                <w:sz w:val="16"/>
                <w:szCs w:val="16"/>
                <w:lang w:val="fr-FR"/>
              </w:rPr>
              <w:t xml:space="preserve"> report.</w:t>
            </w:r>
          </w:p>
        </w:tc>
        <w:tc>
          <w:tcPr>
            <w:tcW w:w="1710" w:type="dxa"/>
            <w:vAlign w:val="center"/>
          </w:tcPr>
          <w:p w14:paraId="59C30D4C" w14:textId="49960D97"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Completed</w:t>
            </w:r>
          </w:p>
        </w:tc>
        <w:tc>
          <w:tcPr>
            <w:tcW w:w="1080" w:type="dxa"/>
            <w:vAlign w:val="center"/>
          </w:tcPr>
          <w:p w14:paraId="2AE214DF" w14:textId="1C943F29"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S</w:t>
            </w:r>
          </w:p>
        </w:tc>
      </w:tr>
      <w:tr w:rsidR="00557B81" w:rsidRPr="004F0961" w14:paraId="487601F0" w14:textId="77777777" w:rsidTr="002169E7">
        <w:trPr>
          <w:trHeight w:val="620"/>
          <w:jc w:val="center"/>
        </w:trPr>
        <w:tc>
          <w:tcPr>
            <w:tcW w:w="1165" w:type="dxa"/>
            <w:vAlign w:val="center"/>
          </w:tcPr>
          <w:p w14:paraId="56AAE3C6" w14:textId="303A02CA"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10/25/2019</w:t>
            </w:r>
          </w:p>
        </w:tc>
        <w:tc>
          <w:tcPr>
            <w:tcW w:w="1170" w:type="dxa"/>
            <w:vAlign w:val="center"/>
          </w:tcPr>
          <w:p w14:paraId="74F1162B" w14:textId="34121C00"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OP-765: Indigenous Peoples</w:t>
            </w:r>
          </w:p>
        </w:tc>
        <w:tc>
          <w:tcPr>
            <w:tcW w:w="1440" w:type="dxa"/>
            <w:vAlign w:val="center"/>
          </w:tcPr>
          <w:p w14:paraId="5FEC5765" w14:textId="6C0CDFEA"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Presence of indigenous communities or population</w:t>
            </w:r>
          </w:p>
        </w:tc>
        <w:tc>
          <w:tcPr>
            <w:tcW w:w="3330" w:type="dxa"/>
            <w:vAlign w:val="center"/>
          </w:tcPr>
          <w:p w14:paraId="08E1AD90" w14:textId="63A26A0E" w:rsidR="00557B81" w:rsidRPr="004E517D"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St. Vincent: There was no evidence from field visit of indigenous communities</w:t>
            </w:r>
            <w:r>
              <w:rPr>
                <w:rFonts w:asciiTheme="majorHAnsi" w:hAnsiTheme="majorHAnsi" w:cstheme="majorHAnsi"/>
                <w:noProof w:val="0"/>
                <w:sz w:val="16"/>
                <w:szCs w:val="16"/>
              </w:rPr>
              <w:t>.</w:t>
            </w:r>
          </w:p>
        </w:tc>
        <w:tc>
          <w:tcPr>
            <w:tcW w:w="990" w:type="dxa"/>
            <w:vAlign w:val="center"/>
          </w:tcPr>
          <w:p w14:paraId="54CC280E" w14:textId="559E5B07"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N/A</w:t>
            </w:r>
          </w:p>
        </w:tc>
        <w:tc>
          <w:tcPr>
            <w:tcW w:w="990" w:type="dxa"/>
            <w:vAlign w:val="center"/>
          </w:tcPr>
          <w:p w14:paraId="37298A83" w14:textId="3716ED37"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080" w:type="dxa"/>
            <w:vAlign w:val="center"/>
          </w:tcPr>
          <w:p w14:paraId="4FB38CDE" w14:textId="05973060"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710" w:type="dxa"/>
            <w:vAlign w:val="center"/>
          </w:tcPr>
          <w:p w14:paraId="36301337" w14:textId="14277ABD"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c>
          <w:tcPr>
            <w:tcW w:w="1080" w:type="dxa"/>
            <w:vAlign w:val="center"/>
          </w:tcPr>
          <w:p w14:paraId="6D5DF467" w14:textId="499C706A"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N/A</w:t>
            </w:r>
          </w:p>
        </w:tc>
      </w:tr>
      <w:tr w:rsidR="00557B81" w:rsidRPr="004F0961" w14:paraId="4DC05521" w14:textId="77777777" w:rsidTr="002169E7">
        <w:trPr>
          <w:trHeight w:val="620"/>
          <w:jc w:val="center"/>
        </w:trPr>
        <w:tc>
          <w:tcPr>
            <w:tcW w:w="1165" w:type="dxa"/>
            <w:vAlign w:val="center"/>
          </w:tcPr>
          <w:p w14:paraId="12A4AF76" w14:textId="7E47D18C" w:rsidR="00557B81" w:rsidRPr="004E517D" w:rsidRDefault="00B65E5C"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04/17/2020</w:t>
            </w:r>
          </w:p>
        </w:tc>
        <w:tc>
          <w:tcPr>
            <w:tcW w:w="1170" w:type="dxa"/>
            <w:vAlign w:val="center"/>
          </w:tcPr>
          <w:p w14:paraId="52EC0B85" w14:textId="6255659D"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OP-761: Gender Equality in Development</w:t>
            </w:r>
          </w:p>
        </w:tc>
        <w:tc>
          <w:tcPr>
            <w:tcW w:w="1440" w:type="dxa"/>
            <w:vAlign w:val="center"/>
          </w:tcPr>
          <w:p w14:paraId="4482DC5C" w14:textId="07CB3274"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Impacts to livelihood of women and fisherfolk</w:t>
            </w:r>
          </w:p>
        </w:tc>
        <w:tc>
          <w:tcPr>
            <w:tcW w:w="3330" w:type="dxa"/>
            <w:vAlign w:val="center"/>
          </w:tcPr>
          <w:p w14:paraId="6B4C969A" w14:textId="6B9C23CB" w:rsidR="00557B81" w:rsidRPr="004E517D"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 xml:space="preserve">SVGCL and CLO of project should continue to monitor potential impacts to livelihood of fisherfolk (for cultural reasons, only women) due to </w:t>
            </w:r>
            <w:r>
              <w:rPr>
                <w:rFonts w:asciiTheme="majorHAnsi" w:hAnsiTheme="majorHAnsi" w:cstheme="majorHAnsi"/>
                <w:noProof w:val="0"/>
                <w:sz w:val="16"/>
                <w:szCs w:val="16"/>
              </w:rPr>
              <w:t xml:space="preserve">the </w:t>
            </w:r>
            <w:r w:rsidRPr="004E517D">
              <w:rPr>
                <w:rFonts w:asciiTheme="majorHAnsi" w:hAnsiTheme="majorHAnsi" w:cstheme="majorHAnsi"/>
                <w:noProof w:val="0"/>
                <w:sz w:val="16"/>
                <w:szCs w:val="16"/>
              </w:rPr>
              <w:t>project</w:t>
            </w:r>
            <w:r>
              <w:rPr>
                <w:rFonts w:asciiTheme="majorHAnsi" w:hAnsiTheme="majorHAnsi" w:cstheme="majorHAnsi"/>
                <w:noProof w:val="0"/>
                <w:sz w:val="16"/>
                <w:szCs w:val="16"/>
              </w:rPr>
              <w:t xml:space="preserve">s. </w:t>
            </w:r>
          </w:p>
        </w:tc>
        <w:tc>
          <w:tcPr>
            <w:tcW w:w="990" w:type="dxa"/>
            <w:vAlign w:val="center"/>
          </w:tcPr>
          <w:p w14:paraId="743A8256" w14:textId="51FD0D1B"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SVGCL</w:t>
            </w:r>
          </w:p>
        </w:tc>
        <w:tc>
          <w:tcPr>
            <w:tcW w:w="990" w:type="dxa"/>
            <w:vAlign w:val="center"/>
          </w:tcPr>
          <w:p w14:paraId="03A708C5" w14:textId="4078566B"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3A0813DB" w14:textId="6E39552E"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SVGCL Reports</w:t>
            </w:r>
          </w:p>
        </w:tc>
        <w:tc>
          <w:tcPr>
            <w:tcW w:w="1710" w:type="dxa"/>
            <w:vAlign w:val="center"/>
          </w:tcPr>
          <w:p w14:paraId="62EE8B6D" w14:textId="3394C491" w:rsidR="00557B81" w:rsidRPr="004E517D" w:rsidDel="00A03E58"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7467D0C0" w14:textId="51045343" w:rsidR="00557B81" w:rsidRPr="004E517D" w:rsidDel="00A03E58"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w:t>
            </w:r>
          </w:p>
        </w:tc>
      </w:tr>
      <w:tr w:rsidR="00557B81" w:rsidRPr="004F0961" w14:paraId="4DA814D6" w14:textId="77777777" w:rsidTr="002169E7">
        <w:trPr>
          <w:trHeight w:val="620"/>
          <w:jc w:val="center"/>
        </w:trPr>
        <w:tc>
          <w:tcPr>
            <w:tcW w:w="1165" w:type="dxa"/>
            <w:vAlign w:val="center"/>
          </w:tcPr>
          <w:p w14:paraId="2951F4F2" w14:textId="6A479B94" w:rsidR="00557B81" w:rsidRPr="004E517D" w:rsidRDefault="005D0B93"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10/25/2019</w:t>
            </w:r>
          </w:p>
        </w:tc>
        <w:tc>
          <w:tcPr>
            <w:tcW w:w="1170" w:type="dxa"/>
            <w:vAlign w:val="center"/>
          </w:tcPr>
          <w:p w14:paraId="482E9E29" w14:textId="3D6E9127"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OP-761: Gender Equality in Development</w:t>
            </w:r>
          </w:p>
        </w:tc>
        <w:tc>
          <w:tcPr>
            <w:tcW w:w="1440" w:type="dxa"/>
            <w:vAlign w:val="center"/>
          </w:tcPr>
          <w:p w14:paraId="3F767837" w14:textId="11915E7D"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Opportunities for women to be hired by the project</w:t>
            </w:r>
          </w:p>
        </w:tc>
        <w:tc>
          <w:tcPr>
            <w:tcW w:w="3330" w:type="dxa"/>
            <w:vAlign w:val="center"/>
          </w:tcPr>
          <w:p w14:paraId="3EEEB058" w14:textId="68B99A3D" w:rsidR="00557B81" w:rsidRPr="004E517D" w:rsidRDefault="00557B81" w:rsidP="00557B81">
            <w:pPr>
              <w:rPr>
                <w:rFonts w:asciiTheme="majorHAnsi" w:hAnsiTheme="majorHAnsi" w:cstheme="majorHAnsi"/>
                <w:noProof w:val="0"/>
                <w:sz w:val="16"/>
                <w:szCs w:val="16"/>
              </w:rPr>
            </w:pPr>
            <w:r w:rsidRPr="004E517D">
              <w:rPr>
                <w:rFonts w:asciiTheme="majorHAnsi" w:hAnsiTheme="majorHAnsi" w:cstheme="majorHAnsi"/>
                <w:noProof w:val="0"/>
                <w:sz w:val="16"/>
                <w:szCs w:val="16"/>
              </w:rPr>
              <w:t>SVGCL ha</w:t>
            </w:r>
            <w:r w:rsidR="00B65E5C">
              <w:rPr>
                <w:rFonts w:asciiTheme="majorHAnsi" w:hAnsiTheme="majorHAnsi" w:cstheme="majorHAnsi"/>
                <w:noProof w:val="0"/>
                <w:sz w:val="16"/>
                <w:szCs w:val="16"/>
              </w:rPr>
              <w:t>d, by the last supervision mission,</w:t>
            </w:r>
            <w:r w:rsidRPr="004E517D">
              <w:rPr>
                <w:rFonts w:asciiTheme="majorHAnsi" w:hAnsiTheme="majorHAnsi" w:cstheme="majorHAnsi"/>
                <w:noProof w:val="0"/>
                <w:sz w:val="16"/>
                <w:szCs w:val="16"/>
              </w:rPr>
              <w:t xml:space="preserve"> hired some women for some roles in the</w:t>
            </w:r>
            <w:r>
              <w:rPr>
                <w:rFonts w:asciiTheme="majorHAnsi" w:hAnsiTheme="majorHAnsi" w:cstheme="majorHAnsi"/>
                <w:noProof w:val="0"/>
                <w:sz w:val="16"/>
                <w:szCs w:val="16"/>
              </w:rPr>
              <w:t xml:space="preserve"> sub-p</w:t>
            </w:r>
            <w:r w:rsidRPr="004E517D">
              <w:rPr>
                <w:rFonts w:asciiTheme="majorHAnsi" w:hAnsiTheme="majorHAnsi" w:cstheme="majorHAnsi"/>
                <w:noProof w:val="0"/>
                <w:sz w:val="16"/>
                <w:szCs w:val="16"/>
              </w:rPr>
              <w:t>roject</w:t>
            </w:r>
            <w:r>
              <w:rPr>
                <w:rFonts w:asciiTheme="majorHAnsi" w:hAnsiTheme="majorHAnsi" w:cstheme="majorHAnsi"/>
                <w:noProof w:val="0"/>
                <w:sz w:val="16"/>
                <w:szCs w:val="16"/>
              </w:rPr>
              <w:t>s</w:t>
            </w:r>
            <w:r w:rsidRPr="004E517D">
              <w:rPr>
                <w:rFonts w:asciiTheme="majorHAnsi" w:hAnsiTheme="majorHAnsi" w:cstheme="majorHAnsi"/>
                <w:noProof w:val="0"/>
                <w:sz w:val="16"/>
                <w:szCs w:val="16"/>
              </w:rPr>
              <w:t>, such as directing traffic, a geologist</w:t>
            </w:r>
            <w:r w:rsidR="004C07F8">
              <w:rPr>
                <w:rFonts w:asciiTheme="majorHAnsi" w:hAnsiTheme="majorHAnsi" w:cstheme="majorHAnsi"/>
                <w:noProof w:val="0"/>
                <w:sz w:val="16"/>
                <w:szCs w:val="16"/>
              </w:rPr>
              <w:t>,</w:t>
            </w:r>
            <w:r w:rsidRPr="004E517D">
              <w:rPr>
                <w:rFonts w:asciiTheme="majorHAnsi" w:hAnsiTheme="majorHAnsi" w:cstheme="majorHAnsi"/>
                <w:noProof w:val="0"/>
                <w:sz w:val="16"/>
                <w:szCs w:val="16"/>
              </w:rPr>
              <w:t xml:space="preserve"> and caterers for the workers meals</w:t>
            </w:r>
            <w:r>
              <w:rPr>
                <w:rFonts w:asciiTheme="majorHAnsi" w:hAnsiTheme="majorHAnsi" w:cstheme="majorHAnsi"/>
                <w:noProof w:val="0"/>
                <w:sz w:val="16"/>
                <w:szCs w:val="16"/>
              </w:rPr>
              <w:t xml:space="preserve">. </w:t>
            </w:r>
          </w:p>
        </w:tc>
        <w:tc>
          <w:tcPr>
            <w:tcW w:w="990" w:type="dxa"/>
            <w:vAlign w:val="center"/>
          </w:tcPr>
          <w:p w14:paraId="65EFFC0E" w14:textId="6084CDFA" w:rsidR="00557B81" w:rsidRPr="004E517D" w:rsidRDefault="00557B81" w:rsidP="00557B81">
            <w:pPr>
              <w:jc w:val="center"/>
              <w:rPr>
                <w:rFonts w:asciiTheme="majorHAnsi" w:hAnsiTheme="majorHAnsi" w:cstheme="majorHAnsi"/>
                <w:b/>
                <w:noProof w:val="0"/>
                <w:sz w:val="16"/>
                <w:szCs w:val="16"/>
              </w:rPr>
            </w:pPr>
            <w:r w:rsidRPr="004E517D">
              <w:rPr>
                <w:rFonts w:asciiTheme="majorHAnsi" w:hAnsiTheme="majorHAnsi" w:cstheme="majorHAnsi"/>
                <w:b/>
                <w:noProof w:val="0"/>
                <w:sz w:val="16"/>
                <w:szCs w:val="16"/>
              </w:rPr>
              <w:t>SVGCL</w:t>
            </w:r>
          </w:p>
        </w:tc>
        <w:tc>
          <w:tcPr>
            <w:tcW w:w="990" w:type="dxa"/>
            <w:vAlign w:val="center"/>
          </w:tcPr>
          <w:p w14:paraId="42A587FE" w14:textId="61DEEBD3"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Ongoing</w:t>
            </w:r>
          </w:p>
        </w:tc>
        <w:tc>
          <w:tcPr>
            <w:tcW w:w="1080" w:type="dxa"/>
            <w:vAlign w:val="center"/>
          </w:tcPr>
          <w:p w14:paraId="635EEC1F" w14:textId="4009EF18" w:rsidR="00557B81" w:rsidRPr="004E517D" w:rsidRDefault="00557B81" w:rsidP="00557B81">
            <w:pPr>
              <w:jc w:val="center"/>
              <w:rPr>
                <w:rFonts w:asciiTheme="majorHAnsi" w:hAnsiTheme="majorHAnsi" w:cstheme="majorHAnsi"/>
                <w:noProof w:val="0"/>
                <w:sz w:val="16"/>
                <w:szCs w:val="16"/>
              </w:rPr>
            </w:pPr>
            <w:r w:rsidRPr="004E517D">
              <w:rPr>
                <w:rFonts w:asciiTheme="majorHAnsi" w:hAnsiTheme="majorHAnsi" w:cstheme="majorHAnsi"/>
                <w:noProof w:val="0"/>
                <w:sz w:val="16"/>
                <w:szCs w:val="16"/>
              </w:rPr>
              <w:t>SVGCL Reports</w:t>
            </w:r>
          </w:p>
        </w:tc>
        <w:tc>
          <w:tcPr>
            <w:tcW w:w="1710" w:type="dxa"/>
            <w:vAlign w:val="center"/>
          </w:tcPr>
          <w:p w14:paraId="4B953ABA" w14:textId="025D61DD"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Completed</w:t>
            </w:r>
          </w:p>
        </w:tc>
        <w:tc>
          <w:tcPr>
            <w:tcW w:w="1080" w:type="dxa"/>
            <w:vAlign w:val="center"/>
          </w:tcPr>
          <w:p w14:paraId="36FAC6C4" w14:textId="538000AC" w:rsidR="00557B81" w:rsidRPr="004E517D" w:rsidRDefault="00557B81" w:rsidP="00557B81">
            <w:pPr>
              <w:jc w:val="center"/>
              <w:rPr>
                <w:rFonts w:asciiTheme="majorHAnsi" w:hAnsiTheme="majorHAnsi" w:cstheme="majorHAnsi"/>
                <w:noProof w:val="0"/>
                <w:sz w:val="16"/>
                <w:szCs w:val="16"/>
              </w:rPr>
            </w:pPr>
            <w:r>
              <w:rPr>
                <w:rFonts w:asciiTheme="majorHAnsi" w:hAnsiTheme="majorHAnsi" w:cstheme="majorHAnsi"/>
                <w:noProof w:val="0"/>
                <w:sz w:val="16"/>
                <w:szCs w:val="16"/>
              </w:rPr>
              <w:t>S</w:t>
            </w:r>
          </w:p>
        </w:tc>
      </w:tr>
    </w:tbl>
    <w:p w14:paraId="06AAD303" w14:textId="77777777" w:rsidR="000A3D98" w:rsidRPr="004F0961" w:rsidRDefault="000A3D98">
      <w:pPr>
        <w:rPr>
          <w:rFonts w:asciiTheme="majorHAnsi" w:hAnsiTheme="majorHAnsi" w:cstheme="majorHAnsi"/>
          <w:noProof w:val="0"/>
          <w:sz w:val="20"/>
          <w:szCs w:val="20"/>
        </w:rPr>
      </w:pPr>
    </w:p>
    <w:p w14:paraId="0DD2333C" w14:textId="51BAD328" w:rsidR="00B63FC7" w:rsidRPr="004F0961" w:rsidRDefault="00B63FC7">
      <w:pPr>
        <w:rPr>
          <w:rFonts w:asciiTheme="majorHAnsi" w:hAnsiTheme="majorHAnsi" w:cstheme="majorHAnsi"/>
          <w:noProof w:val="0"/>
          <w:sz w:val="20"/>
          <w:szCs w:val="20"/>
        </w:rPr>
      </w:pPr>
      <w:r w:rsidRPr="004F0961">
        <w:rPr>
          <w:rFonts w:asciiTheme="majorHAnsi" w:hAnsiTheme="majorHAnsi" w:cstheme="majorHAnsi"/>
          <w:noProof w:val="0"/>
          <w:sz w:val="20"/>
          <w:szCs w:val="20"/>
        </w:rPr>
        <w:br w:type="page"/>
      </w:r>
    </w:p>
    <w:tbl>
      <w:tblPr>
        <w:tblW w:w="131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8"/>
        <w:gridCol w:w="5557"/>
        <w:gridCol w:w="1980"/>
        <w:gridCol w:w="4860"/>
      </w:tblGrid>
      <w:tr w:rsidR="00B63FC7" w:rsidRPr="004F0961" w14:paraId="0F5648F3" w14:textId="77777777" w:rsidTr="003865E4">
        <w:trPr>
          <w:trHeight w:val="84"/>
          <w:tblHeader/>
          <w:jc w:val="center"/>
        </w:trPr>
        <w:tc>
          <w:tcPr>
            <w:tcW w:w="13135" w:type="dxa"/>
            <w:gridSpan w:val="4"/>
            <w:shd w:val="clear" w:color="auto" w:fill="8DB3E2" w:themeFill="text2" w:themeFillTint="66"/>
          </w:tcPr>
          <w:p w14:paraId="31690CC5" w14:textId="007218B4" w:rsidR="00B63FC7" w:rsidRPr="004F0961" w:rsidRDefault="00B63FC7" w:rsidP="003865E4">
            <w:pPr>
              <w:jc w:val="center"/>
              <w:rPr>
                <w:rFonts w:asciiTheme="majorHAnsi" w:eastAsia="Times New Roman" w:hAnsiTheme="majorHAnsi" w:cstheme="majorHAnsi"/>
                <w:b/>
                <w:bCs/>
                <w:noProof w:val="0"/>
                <w:color w:val="FFFFFF" w:themeColor="background1"/>
              </w:rPr>
            </w:pPr>
            <w:r w:rsidRPr="004F0961">
              <w:rPr>
                <w:rFonts w:asciiTheme="majorHAnsi" w:eastAsia="Times New Roman" w:hAnsiTheme="majorHAnsi" w:cstheme="majorHAnsi"/>
                <w:b/>
                <w:bCs/>
                <w:noProof w:val="0"/>
                <w:color w:val="FFFFFF" w:themeColor="background1"/>
              </w:rPr>
              <w:lastRenderedPageBreak/>
              <w:t>Table 2. ESHS LEGAL COMPLIANCE</w:t>
            </w:r>
          </w:p>
          <w:p w14:paraId="261BB0B1" w14:textId="5C99F834" w:rsidR="00B63FC7" w:rsidRPr="004F0961" w:rsidRDefault="00B63FC7" w:rsidP="003865E4">
            <w:pPr>
              <w:jc w:val="center"/>
              <w:rPr>
                <w:rFonts w:asciiTheme="majorHAnsi" w:eastAsia="Times New Roman" w:hAnsiTheme="majorHAnsi" w:cstheme="majorHAnsi"/>
                <w:b/>
                <w:bCs/>
                <w:noProof w:val="0"/>
                <w:color w:val="FFFFFF" w:themeColor="background1"/>
                <w:sz w:val="20"/>
                <w:szCs w:val="20"/>
              </w:rPr>
            </w:pPr>
            <w:r w:rsidRPr="004F0961">
              <w:rPr>
                <w:rFonts w:asciiTheme="majorHAnsi" w:eastAsia="Times New Roman" w:hAnsiTheme="majorHAnsi" w:cstheme="majorHAnsi"/>
                <w:b/>
                <w:bCs/>
                <w:noProof w:val="0"/>
                <w:color w:val="FFFFFF" w:themeColor="background1"/>
              </w:rPr>
              <w:t>(Legal Conditions included in the Loan Agreement)</w:t>
            </w:r>
          </w:p>
        </w:tc>
      </w:tr>
      <w:tr w:rsidR="00B63FC7" w:rsidRPr="004F0961" w14:paraId="5783E934" w14:textId="77777777" w:rsidTr="00F753F0">
        <w:trPr>
          <w:trHeight w:val="665"/>
          <w:tblHeader/>
          <w:jc w:val="center"/>
        </w:trPr>
        <w:tc>
          <w:tcPr>
            <w:tcW w:w="738" w:type="dxa"/>
            <w:shd w:val="clear" w:color="auto" w:fill="8DB3E2" w:themeFill="text2" w:themeFillTint="66"/>
            <w:vAlign w:val="center"/>
          </w:tcPr>
          <w:p w14:paraId="7C395329" w14:textId="77777777" w:rsidR="00B63FC7" w:rsidRPr="004F0961" w:rsidRDefault="00B63FC7" w:rsidP="003865E4">
            <w:pPr>
              <w:jc w:val="center"/>
              <w:rPr>
                <w:rFonts w:asciiTheme="majorHAnsi" w:eastAsia="Times New Roman" w:hAnsiTheme="majorHAnsi" w:cstheme="majorHAnsi"/>
                <w:b/>
                <w:bCs/>
                <w:noProof w:val="0"/>
                <w:color w:val="FFFFFF" w:themeColor="background1"/>
                <w:sz w:val="18"/>
                <w:szCs w:val="18"/>
              </w:rPr>
            </w:pPr>
            <w:r w:rsidRPr="004F0961">
              <w:rPr>
                <w:rFonts w:asciiTheme="majorHAnsi" w:eastAsia="Times New Roman" w:hAnsiTheme="majorHAnsi" w:cstheme="majorHAnsi"/>
                <w:b/>
                <w:bCs/>
                <w:noProof w:val="0"/>
                <w:color w:val="FFFFFF" w:themeColor="background1"/>
                <w:sz w:val="18"/>
                <w:szCs w:val="18"/>
              </w:rPr>
              <w:t>Ref#</w:t>
            </w:r>
          </w:p>
        </w:tc>
        <w:tc>
          <w:tcPr>
            <w:tcW w:w="5557" w:type="dxa"/>
            <w:shd w:val="clear" w:color="auto" w:fill="8DB3E2" w:themeFill="text2" w:themeFillTint="66"/>
            <w:vAlign w:val="center"/>
          </w:tcPr>
          <w:p w14:paraId="3E3857A3" w14:textId="19D3B9E3" w:rsidR="00B63FC7" w:rsidRPr="004F0961" w:rsidRDefault="00B63FC7" w:rsidP="003865E4">
            <w:pPr>
              <w:jc w:val="center"/>
              <w:rPr>
                <w:rFonts w:asciiTheme="majorHAnsi" w:eastAsia="Times New Roman" w:hAnsiTheme="majorHAnsi" w:cstheme="majorHAnsi"/>
                <w:b/>
                <w:bCs/>
                <w:noProof w:val="0"/>
                <w:color w:val="FFFFFF" w:themeColor="background1"/>
                <w:sz w:val="18"/>
                <w:szCs w:val="18"/>
              </w:rPr>
            </w:pPr>
            <w:r w:rsidRPr="004F0961">
              <w:rPr>
                <w:rFonts w:asciiTheme="majorHAnsi" w:eastAsia="Times New Roman" w:hAnsiTheme="majorHAnsi" w:cstheme="majorHAnsi"/>
                <w:b/>
                <w:bCs/>
                <w:noProof w:val="0"/>
                <w:color w:val="FFFFFF" w:themeColor="background1"/>
                <w:sz w:val="18"/>
                <w:szCs w:val="18"/>
              </w:rPr>
              <w:t>Key ESHS Legal Requirements</w:t>
            </w:r>
          </w:p>
        </w:tc>
        <w:tc>
          <w:tcPr>
            <w:tcW w:w="1980" w:type="dxa"/>
            <w:shd w:val="clear" w:color="auto" w:fill="8DB3E2" w:themeFill="text2" w:themeFillTint="66"/>
            <w:vAlign w:val="center"/>
          </w:tcPr>
          <w:p w14:paraId="1286D8EA" w14:textId="77777777" w:rsidR="00B63FC7" w:rsidRPr="004F0961" w:rsidRDefault="00B63FC7" w:rsidP="003865E4">
            <w:pPr>
              <w:jc w:val="center"/>
              <w:rPr>
                <w:rFonts w:asciiTheme="majorHAnsi" w:eastAsia="Times New Roman" w:hAnsiTheme="majorHAnsi" w:cstheme="majorHAnsi"/>
                <w:b/>
                <w:bCs/>
                <w:noProof w:val="0"/>
                <w:color w:val="FFFFFF" w:themeColor="background1"/>
                <w:sz w:val="18"/>
                <w:szCs w:val="18"/>
              </w:rPr>
            </w:pPr>
            <w:r w:rsidRPr="004F0961">
              <w:rPr>
                <w:rFonts w:asciiTheme="majorHAnsi" w:eastAsia="Times New Roman" w:hAnsiTheme="majorHAnsi" w:cstheme="majorHAnsi"/>
                <w:b/>
                <w:bCs/>
                <w:noProof w:val="0"/>
                <w:color w:val="FFFFFF" w:themeColor="background1"/>
                <w:sz w:val="18"/>
                <w:szCs w:val="18"/>
              </w:rPr>
              <w:t>Compliance</w:t>
            </w:r>
          </w:p>
        </w:tc>
        <w:tc>
          <w:tcPr>
            <w:tcW w:w="4860" w:type="dxa"/>
            <w:shd w:val="clear" w:color="auto" w:fill="8DB3E2" w:themeFill="text2" w:themeFillTint="66"/>
            <w:vAlign w:val="center"/>
          </w:tcPr>
          <w:p w14:paraId="5A3C5489" w14:textId="77777777" w:rsidR="00B63FC7" w:rsidRPr="004F0961" w:rsidRDefault="00B63FC7" w:rsidP="003865E4">
            <w:pPr>
              <w:jc w:val="center"/>
              <w:rPr>
                <w:rFonts w:asciiTheme="majorHAnsi" w:eastAsia="Times New Roman" w:hAnsiTheme="majorHAnsi" w:cstheme="majorHAnsi"/>
                <w:b/>
                <w:bCs/>
                <w:noProof w:val="0"/>
                <w:color w:val="FFFFFF" w:themeColor="background1"/>
                <w:sz w:val="18"/>
                <w:szCs w:val="18"/>
              </w:rPr>
            </w:pPr>
            <w:r w:rsidRPr="004F0961">
              <w:rPr>
                <w:rFonts w:asciiTheme="majorHAnsi" w:eastAsia="Times New Roman" w:hAnsiTheme="majorHAnsi" w:cstheme="majorHAnsi"/>
                <w:b/>
                <w:bCs/>
                <w:noProof w:val="0"/>
                <w:color w:val="FFFFFF" w:themeColor="background1"/>
                <w:sz w:val="18"/>
                <w:szCs w:val="18"/>
              </w:rPr>
              <w:t>Rationale / Observations</w:t>
            </w:r>
          </w:p>
        </w:tc>
      </w:tr>
      <w:tr w:rsidR="00B63FC7" w:rsidRPr="004F0961" w14:paraId="6C93EBB2" w14:textId="77777777" w:rsidTr="00F753F0">
        <w:trPr>
          <w:trHeight w:val="728"/>
          <w:jc w:val="center"/>
        </w:trPr>
        <w:tc>
          <w:tcPr>
            <w:tcW w:w="738" w:type="dxa"/>
            <w:vAlign w:val="center"/>
          </w:tcPr>
          <w:p w14:paraId="7A965D22" w14:textId="77777777" w:rsidR="00B63FC7" w:rsidRPr="004F0961" w:rsidRDefault="00B63FC7" w:rsidP="003865E4">
            <w:pPr>
              <w:jc w:val="center"/>
              <w:rPr>
                <w:rFonts w:asciiTheme="majorHAnsi" w:hAnsiTheme="majorHAnsi" w:cstheme="majorHAnsi"/>
                <w:i/>
                <w:noProof w:val="0"/>
                <w:sz w:val="18"/>
                <w:szCs w:val="18"/>
              </w:rPr>
            </w:pPr>
            <w:r w:rsidRPr="004F0961">
              <w:rPr>
                <w:rFonts w:asciiTheme="majorHAnsi" w:hAnsiTheme="majorHAnsi" w:cstheme="majorHAnsi"/>
                <w:i/>
                <w:noProof w:val="0"/>
                <w:sz w:val="18"/>
                <w:szCs w:val="18"/>
              </w:rPr>
              <w:t>1</w:t>
            </w:r>
          </w:p>
        </w:tc>
        <w:tc>
          <w:tcPr>
            <w:tcW w:w="5557" w:type="dxa"/>
            <w:vAlign w:val="center"/>
          </w:tcPr>
          <w:p w14:paraId="757FDB1B" w14:textId="7451586F" w:rsidR="00B63FC7" w:rsidRPr="00F753F0" w:rsidRDefault="003B3AA0" w:rsidP="00F753F0">
            <w:pPr>
              <w:rPr>
                <w:rFonts w:asciiTheme="majorHAnsi" w:hAnsiTheme="majorHAnsi" w:cstheme="majorHAnsi"/>
                <w:b/>
                <w:i/>
                <w:noProof w:val="0"/>
                <w:sz w:val="20"/>
                <w:szCs w:val="20"/>
              </w:rPr>
            </w:pPr>
            <w:r w:rsidRPr="00F753F0">
              <w:rPr>
                <w:rFonts w:asciiTheme="majorHAnsi" w:hAnsiTheme="majorHAnsi" w:cstheme="majorHAnsi"/>
                <w:i/>
                <w:sz w:val="20"/>
                <w:szCs w:val="20"/>
              </w:rPr>
              <w:t>3.01. The first disbursement of the Loan shall be subject to the fulfillment, to the satisfaction of the Bank, of the following requirements: (i) The OM, including the Sub-loan and Sub-grant model agreements, has been approved, in accordance with the terms and conditions agreed between the Borrower and the Bank</w:t>
            </w:r>
            <w:r w:rsidRPr="00F753F0">
              <w:rPr>
                <w:sz w:val="20"/>
                <w:szCs w:val="20"/>
              </w:rPr>
              <w:t>.</w:t>
            </w:r>
          </w:p>
        </w:tc>
        <w:tc>
          <w:tcPr>
            <w:tcW w:w="1980" w:type="dxa"/>
            <w:vAlign w:val="center"/>
          </w:tcPr>
          <w:p w14:paraId="4505A174" w14:textId="5ED7F4C1" w:rsidR="00B63FC7" w:rsidRPr="00F753F0" w:rsidRDefault="00B63FC7" w:rsidP="00F753F0">
            <w:pPr>
              <w:jc w:val="center"/>
              <w:rPr>
                <w:rFonts w:asciiTheme="majorHAnsi" w:hAnsiTheme="majorHAnsi" w:cstheme="majorHAnsi"/>
                <w:i/>
                <w:sz w:val="20"/>
                <w:szCs w:val="20"/>
              </w:rPr>
            </w:pPr>
            <w:r w:rsidRPr="00F753F0">
              <w:rPr>
                <w:rFonts w:asciiTheme="majorHAnsi" w:hAnsiTheme="majorHAnsi" w:cstheme="majorHAnsi"/>
                <w:i/>
                <w:sz w:val="20"/>
                <w:szCs w:val="20"/>
              </w:rPr>
              <w:t xml:space="preserve">Complied </w:t>
            </w:r>
          </w:p>
        </w:tc>
        <w:tc>
          <w:tcPr>
            <w:tcW w:w="4860" w:type="dxa"/>
            <w:vAlign w:val="center"/>
          </w:tcPr>
          <w:p w14:paraId="040FC8B8" w14:textId="28D80174" w:rsidR="00B63FC7" w:rsidRPr="00F753F0" w:rsidRDefault="003B3AA0" w:rsidP="003865E4">
            <w:pPr>
              <w:jc w:val="center"/>
              <w:rPr>
                <w:rFonts w:asciiTheme="majorHAnsi" w:hAnsiTheme="majorHAnsi" w:cstheme="majorHAnsi"/>
                <w:noProof w:val="0"/>
                <w:sz w:val="20"/>
                <w:szCs w:val="20"/>
              </w:rPr>
            </w:pPr>
            <w:r w:rsidRPr="00F753F0">
              <w:rPr>
                <w:rFonts w:asciiTheme="majorHAnsi" w:hAnsiTheme="majorHAnsi" w:cstheme="majorHAnsi"/>
                <w:i/>
                <w:sz w:val="20"/>
                <w:szCs w:val="20"/>
              </w:rPr>
              <w:t>The Operating Manual was approved in 2015 and includes an Environmental and Social Management System which details an agreement for Hand-in-Hand Due Diligence which outlines the responsibilities of CDB and IDB in terms of environmental and social compliance and non-objection</w:t>
            </w:r>
          </w:p>
        </w:tc>
      </w:tr>
      <w:tr w:rsidR="00B63FC7" w:rsidRPr="004F0961" w14:paraId="73D371B1" w14:textId="77777777" w:rsidTr="00F753F0">
        <w:trPr>
          <w:trHeight w:val="728"/>
          <w:jc w:val="center"/>
        </w:trPr>
        <w:tc>
          <w:tcPr>
            <w:tcW w:w="738" w:type="dxa"/>
            <w:vAlign w:val="center"/>
          </w:tcPr>
          <w:p w14:paraId="01C5F5FE" w14:textId="77777777" w:rsidR="00B63FC7" w:rsidRPr="004F0961" w:rsidRDefault="00B63FC7" w:rsidP="003865E4">
            <w:pPr>
              <w:jc w:val="center"/>
              <w:rPr>
                <w:rFonts w:asciiTheme="majorHAnsi" w:hAnsiTheme="majorHAnsi" w:cstheme="majorHAnsi"/>
                <w:i/>
                <w:noProof w:val="0"/>
                <w:sz w:val="18"/>
                <w:szCs w:val="18"/>
              </w:rPr>
            </w:pPr>
            <w:r w:rsidRPr="004F0961">
              <w:rPr>
                <w:rFonts w:asciiTheme="majorHAnsi" w:hAnsiTheme="majorHAnsi" w:cstheme="majorHAnsi"/>
                <w:i/>
                <w:noProof w:val="0"/>
                <w:sz w:val="18"/>
                <w:szCs w:val="18"/>
              </w:rPr>
              <w:t>2</w:t>
            </w:r>
          </w:p>
        </w:tc>
        <w:tc>
          <w:tcPr>
            <w:tcW w:w="5557" w:type="dxa"/>
            <w:vAlign w:val="center"/>
          </w:tcPr>
          <w:p w14:paraId="227ABB29" w14:textId="231B787E" w:rsidR="00B63FC7" w:rsidRPr="00F753F0" w:rsidRDefault="003B3AA0" w:rsidP="00F753F0">
            <w:pPr>
              <w:rPr>
                <w:rFonts w:asciiTheme="majorHAnsi" w:hAnsiTheme="majorHAnsi" w:cstheme="majorHAnsi"/>
                <w:i/>
                <w:sz w:val="20"/>
                <w:szCs w:val="20"/>
              </w:rPr>
            </w:pPr>
            <w:r w:rsidRPr="00F753F0">
              <w:rPr>
                <w:rFonts w:asciiTheme="majorHAnsi" w:hAnsiTheme="majorHAnsi" w:cstheme="majorHAnsi"/>
                <w:i/>
                <w:sz w:val="20"/>
                <w:szCs w:val="20"/>
              </w:rPr>
              <w:t>6.06 (a) The Borrower, directly or through the Executing Agency, as the case may be, agrees to carry out the execution (preparation, construction, and operation) of the activities included in the Project in accordance with the environmental and social policies of the Bank, pursuant to the specific provisions on environmental and social considerations included in the Special Conditions</w:t>
            </w:r>
          </w:p>
        </w:tc>
        <w:tc>
          <w:tcPr>
            <w:tcW w:w="1980" w:type="dxa"/>
            <w:vAlign w:val="center"/>
          </w:tcPr>
          <w:p w14:paraId="596ADBFA" w14:textId="66B064DB" w:rsidR="00B63FC7" w:rsidRPr="00F753F0" w:rsidRDefault="003B3AA0" w:rsidP="00F753F0">
            <w:pPr>
              <w:jc w:val="center"/>
              <w:rPr>
                <w:rFonts w:asciiTheme="majorHAnsi" w:hAnsiTheme="majorHAnsi" w:cstheme="majorHAnsi"/>
                <w:i/>
                <w:sz w:val="20"/>
                <w:szCs w:val="20"/>
              </w:rPr>
            </w:pPr>
            <w:r>
              <w:rPr>
                <w:rFonts w:asciiTheme="majorHAnsi" w:hAnsiTheme="majorHAnsi" w:cstheme="majorHAnsi"/>
                <w:i/>
                <w:sz w:val="20"/>
                <w:szCs w:val="20"/>
              </w:rPr>
              <w:t>In compliance</w:t>
            </w:r>
          </w:p>
        </w:tc>
        <w:tc>
          <w:tcPr>
            <w:tcW w:w="4860" w:type="dxa"/>
            <w:vAlign w:val="center"/>
          </w:tcPr>
          <w:p w14:paraId="7385EC9E" w14:textId="4C620445" w:rsidR="00B63FC7" w:rsidRPr="00F753F0" w:rsidRDefault="003B3AA0" w:rsidP="003B3AA0">
            <w:pPr>
              <w:jc w:val="center"/>
              <w:rPr>
                <w:rFonts w:asciiTheme="majorHAnsi" w:hAnsiTheme="majorHAnsi" w:cstheme="majorHAnsi"/>
                <w:i/>
                <w:sz w:val="20"/>
                <w:szCs w:val="20"/>
              </w:rPr>
            </w:pPr>
            <w:r w:rsidRPr="00F753F0">
              <w:rPr>
                <w:rFonts w:asciiTheme="majorHAnsi" w:hAnsiTheme="majorHAnsi" w:cstheme="majorHAnsi"/>
                <w:i/>
                <w:sz w:val="20"/>
                <w:szCs w:val="20"/>
              </w:rPr>
              <w:t>The CDB is executing its responsibilities established in the ESMS as set forth in the OM, in compliance with IDB environmental and social policies</w:t>
            </w:r>
          </w:p>
        </w:tc>
      </w:tr>
      <w:tr w:rsidR="00B63FC7" w:rsidRPr="004F0961" w14:paraId="4F5F320B" w14:textId="77777777" w:rsidTr="00F753F0">
        <w:trPr>
          <w:trHeight w:val="728"/>
          <w:jc w:val="center"/>
        </w:trPr>
        <w:tc>
          <w:tcPr>
            <w:tcW w:w="738" w:type="dxa"/>
            <w:vAlign w:val="center"/>
          </w:tcPr>
          <w:p w14:paraId="11BD7CBA" w14:textId="77777777" w:rsidR="00B63FC7" w:rsidRPr="004F0961" w:rsidRDefault="00B63FC7" w:rsidP="003865E4">
            <w:pPr>
              <w:jc w:val="center"/>
              <w:rPr>
                <w:rFonts w:asciiTheme="majorHAnsi" w:hAnsiTheme="majorHAnsi" w:cstheme="majorHAnsi"/>
                <w:i/>
                <w:noProof w:val="0"/>
                <w:sz w:val="18"/>
                <w:szCs w:val="18"/>
              </w:rPr>
            </w:pPr>
            <w:r w:rsidRPr="004F0961">
              <w:rPr>
                <w:rFonts w:asciiTheme="majorHAnsi" w:hAnsiTheme="majorHAnsi" w:cstheme="majorHAnsi"/>
                <w:i/>
                <w:noProof w:val="0"/>
                <w:sz w:val="18"/>
                <w:szCs w:val="18"/>
              </w:rPr>
              <w:t>3</w:t>
            </w:r>
          </w:p>
        </w:tc>
        <w:tc>
          <w:tcPr>
            <w:tcW w:w="5557" w:type="dxa"/>
            <w:vAlign w:val="center"/>
          </w:tcPr>
          <w:p w14:paraId="2D66B4ED" w14:textId="76F7799A" w:rsidR="00B63FC7" w:rsidRPr="00F753F0" w:rsidRDefault="003B3AA0" w:rsidP="00F753F0">
            <w:pPr>
              <w:rPr>
                <w:rFonts w:asciiTheme="majorHAnsi" w:hAnsiTheme="majorHAnsi" w:cstheme="majorHAnsi"/>
                <w:i/>
                <w:sz w:val="20"/>
                <w:szCs w:val="20"/>
              </w:rPr>
            </w:pPr>
            <w:r w:rsidRPr="00F753F0">
              <w:rPr>
                <w:rFonts w:asciiTheme="majorHAnsi" w:hAnsiTheme="majorHAnsi" w:cstheme="majorHAnsi"/>
                <w:i/>
                <w:sz w:val="20"/>
                <w:szCs w:val="20"/>
              </w:rPr>
              <w:t>6.06 (b) The Borrower, directly or through the Executing Agency, as the case may be, agrees to immediately inform the Bank of any noncompliance with the environmental and social obligations set forth in the Special Conditions.</w:t>
            </w:r>
          </w:p>
        </w:tc>
        <w:tc>
          <w:tcPr>
            <w:tcW w:w="1980" w:type="dxa"/>
            <w:vAlign w:val="center"/>
          </w:tcPr>
          <w:p w14:paraId="5837BB44" w14:textId="69EA343A" w:rsidR="00B63FC7" w:rsidRPr="004F0961" w:rsidRDefault="003B3AA0" w:rsidP="00F753F0">
            <w:pPr>
              <w:jc w:val="center"/>
              <w:rPr>
                <w:rFonts w:asciiTheme="majorHAnsi" w:hAnsiTheme="majorHAnsi" w:cstheme="majorHAnsi"/>
                <w:b/>
                <w:i/>
                <w:noProof w:val="0"/>
                <w:sz w:val="18"/>
                <w:szCs w:val="18"/>
              </w:rPr>
            </w:pPr>
            <w:r>
              <w:rPr>
                <w:rFonts w:asciiTheme="majorHAnsi" w:hAnsiTheme="majorHAnsi" w:cstheme="majorHAnsi"/>
                <w:i/>
                <w:sz w:val="20"/>
                <w:szCs w:val="20"/>
              </w:rPr>
              <w:t>In compliance</w:t>
            </w:r>
          </w:p>
        </w:tc>
        <w:tc>
          <w:tcPr>
            <w:tcW w:w="4860" w:type="dxa"/>
            <w:vAlign w:val="center"/>
          </w:tcPr>
          <w:p w14:paraId="6D18115E" w14:textId="7F6A1B8A" w:rsidR="00B63FC7" w:rsidRPr="004F0961" w:rsidRDefault="003B3AA0" w:rsidP="003865E4">
            <w:pPr>
              <w:jc w:val="center"/>
              <w:rPr>
                <w:rFonts w:asciiTheme="majorHAnsi" w:hAnsiTheme="majorHAnsi" w:cstheme="majorHAnsi"/>
                <w:b/>
                <w:i/>
                <w:noProof w:val="0"/>
                <w:sz w:val="18"/>
                <w:szCs w:val="18"/>
              </w:rPr>
            </w:pPr>
            <w:r w:rsidRPr="00F753F0">
              <w:rPr>
                <w:rFonts w:asciiTheme="majorHAnsi" w:hAnsiTheme="majorHAnsi" w:cstheme="majorHAnsi"/>
                <w:i/>
                <w:sz w:val="20"/>
                <w:szCs w:val="20"/>
              </w:rPr>
              <w:t>The CDB is executing its responsibilities established in the ESMS as set forth in the OM, in compliance with IDB environmental and social policies.</w:t>
            </w:r>
          </w:p>
        </w:tc>
      </w:tr>
      <w:tr w:rsidR="00B63FC7" w:rsidRPr="004F0961" w14:paraId="1AEBE7CF" w14:textId="77777777" w:rsidTr="00F753F0">
        <w:trPr>
          <w:trHeight w:val="872"/>
          <w:jc w:val="center"/>
        </w:trPr>
        <w:tc>
          <w:tcPr>
            <w:tcW w:w="738" w:type="dxa"/>
            <w:vAlign w:val="center"/>
          </w:tcPr>
          <w:p w14:paraId="120FA33F" w14:textId="77777777" w:rsidR="00B63FC7" w:rsidRPr="004F0961" w:rsidRDefault="00B63FC7" w:rsidP="003865E4">
            <w:pPr>
              <w:jc w:val="center"/>
              <w:rPr>
                <w:rFonts w:asciiTheme="majorHAnsi" w:hAnsiTheme="majorHAnsi" w:cstheme="majorHAnsi"/>
                <w:i/>
                <w:noProof w:val="0"/>
                <w:sz w:val="18"/>
                <w:szCs w:val="18"/>
              </w:rPr>
            </w:pPr>
            <w:r w:rsidRPr="004F0961">
              <w:rPr>
                <w:rFonts w:asciiTheme="majorHAnsi" w:hAnsiTheme="majorHAnsi" w:cstheme="majorHAnsi"/>
                <w:i/>
                <w:noProof w:val="0"/>
                <w:sz w:val="18"/>
                <w:szCs w:val="18"/>
              </w:rPr>
              <w:t>4</w:t>
            </w:r>
          </w:p>
        </w:tc>
        <w:tc>
          <w:tcPr>
            <w:tcW w:w="5557" w:type="dxa"/>
            <w:vAlign w:val="center"/>
          </w:tcPr>
          <w:p w14:paraId="7CF653CB" w14:textId="03FC05D2" w:rsidR="00B63FC7" w:rsidRPr="00F753F0" w:rsidRDefault="003B3AA0" w:rsidP="00F753F0">
            <w:pPr>
              <w:rPr>
                <w:rFonts w:asciiTheme="majorHAnsi" w:hAnsiTheme="majorHAnsi" w:cstheme="majorHAnsi"/>
                <w:i/>
                <w:sz w:val="20"/>
                <w:szCs w:val="20"/>
              </w:rPr>
            </w:pPr>
            <w:r w:rsidRPr="00F753F0">
              <w:rPr>
                <w:rFonts w:asciiTheme="majorHAnsi" w:hAnsiTheme="majorHAnsi" w:cstheme="majorHAnsi"/>
                <w:i/>
                <w:sz w:val="20"/>
                <w:szCs w:val="20"/>
              </w:rPr>
              <w:t>6.06 (c) The Borrower, directly or through the Executing Agency, as the case may be, agrees to implement a corrective action plan, agreed upon with the Bank, to imitigate, correct, and compensate any adverse consequences that may result from the failure to comply with the implementation of the environmental and social obligations set forth in the Special Conditions.</w:t>
            </w:r>
          </w:p>
        </w:tc>
        <w:tc>
          <w:tcPr>
            <w:tcW w:w="1980" w:type="dxa"/>
            <w:vAlign w:val="center"/>
          </w:tcPr>
          <w:p w14:paraId="10F97D86" w14:textId="0F0755B6" w:rsidR="00B63FC7" w:rsidRPr="004F0961" w:rsidRDefault="003B3AA0" w:rsidP="00F753F0">
            <w:pPr>
              <w:jc w:val="center"/>
              <w:rPr>
                <w:rFonts w:asciiTheme="majorHAnsi" w:hAnsiTheme="majorHAnsi" w:cstheme="majorHAnsi"/>
                <w:b/>
                <w:i/>
                <w:noProof w:val="0"/>
                <w:sz w:val="18"/>
                <w:szCs w:val="18"/>
              </w:rPr>
            </w:pPr>
            <w:r>
              <w:rPr>
                <w:rFonts w:asciiTheme="majorHAnsi" w:hAnsiTheme="majorHAnsi" w:cstheme="majorHAnsi"/>
                <w:i/>
                <w:sz w:val="20"/>
                <w:szCs w:val="20"/>
              </w:rPr>
              <w:t>In compliance</w:t>
            </w:r>
          </w:p>
        </w:tc>
        <w:tc>
          <w:tcPr>
            <w:tcW w:w="4860" w:type="dxa"/>
            <w:vAlign w:val="center"/>
          </w:tcPr>
          <w:p w14:paraId="4E512B03" w14:textId="23616D99" w:rsidR="00B63FC7" w:rsidRPr="00F753F0" w:rsidRDefault="003B3AA0" w:rsidP="003865E4">
            <w:pPr>
              <w:jc w:val="center"/>
              <w:rPr>
                <w:rFonts w:asciiTheme="majorHAnsi" w:hAnsiTheme="majorHAnsi" w:cstheme="majorHAnsi"/>
                <w:i/>
                <w:sz w:val="20"/>
                <w:szCs w:val="20"/>
              </w:rPr>
            </w:pPr>
            <w:r w:rsidRPr="00F753F0">
              <w:rPr>
                <w:rFonts w:asciiTheme="majorHAnsi" w:hAnsiTheme="majorHAnsi" w:cstheme="majorHAnsi"/>
                <w:i/>
                <w:sz w:val="20"/>
                <w:szCs w:val="20"/>
              </w:rPr>
              <w:t>The CDB is executing its responsibilities established in the ESMS as set forth in the OM, in compliance with IDB environmental and social policies</w:t>
            </w:r>
          </w:p>
        </w:tc>
      </w:tr>
      <w:tr w:rsidR="003B3AA0" w:rsidRPr="004F0961" w14:paraId="20302460" w14:textId="77777777" w:rsidTr="00F753F0">
        <w:trPr>
          <w:trHeight w:val="872"/>
          <w:jc w:val="center"/>
        </w:trPr>
        <w:tc>
          <w:tcPr>
            <w:tcW w:w="738" w:type="dxa"/>
            <w:vAlign w:val="center"/>
          </w:tcPr>
          <w:p w14:paraId="019504B5" w14:textId="479DE2A2" w:rsidR="003B3AA0" w:rsidRPr="004F0961" w:rsidRDefault="003B3AA0" w:rsidP="003865E4">
            <w:pPr>
              <w:jc w:val="center"/>
              <w:rPr>
                <w:rFonts w:asciiTheme="majorHAnsi" w:hAnsiTheme="majorHAnsi" w:cstheme="majorHAnsi"/>
                <w:i/>
                <w:noProof w:val="0"/>
                <w:sz w:val="18"/>
                <w:szCs w:val="18"/>
              </w:rPr>
            </w:pPr>
            <w:r>
              <w:rPr>
                <w:rFonts w:asciiTheme="majorHAnsi" w:hAnsiTheme="majorHAnsi" w:cstheme="majorHAnsi"/>
                <w:i/>
                <w:noProof w:val="0"/>
                <w:sz w:val="18"/>
                <w:szCs w:val="18"/>
              </w:rPr>
              <w:t>5</w:t>
            </w:r>
          </w:p>
        </w:tc>
        <w:tc>
          <w:tcPr>
            <w:tcW w:w="5557" w:type="dxa"/>
            <w:vAlign w:val="center"/>
          </w:tcPr>
          <w:p w14:paraId="4CE24761" w14:textId="75B2940F" w:rsidR="003B3AA0" w:rsidRPr="00F753F0" w:rsidRDefault="003B3AA0" w:rsidP="00F753F0">
            <w:pPr>
              <w:rPr>
                <w:rFonts w:asciiTheme="majorHAnsi" w:hAnsiTheme="majorHAnsi" w:cstheme="majorHAnsi"/>
                <w:i/>
                <w:sz w:val="20"/>
                <w:szCs w:val="20"/>
              </w:rPr>
            </w:pPr>
            <w:r w:rsidRPr="00F753F0">
              <w:rPr>
                <w:rFonts w:asciiTheme="majorHAnsi" w:hAnsiTheme="majorHAnsi" w:cstheme="majorHAnsi"/>
                <w:i/>
                <w:sz w:val="20"/>
                <w:szCs w:val="20"/>
              </w:rPr>
              <w:t>6.06 (d) The Borrower agrees to allow the Bank, whether directly or through the contracting of consulting services, to carry out supervision activities, including environmental and social audits of the Project, in order to confirm compliance with the environmental and social obligations set forth in the Special Conditions</w:t>
            </w:r>
          </w:p>
        </w:tc>
        <w:tc>
          <w:tcPr>
            <w:tcW w:w="1980" w:type="dxa"/>
            <w:vAlign w:val="center"/>
          </w:tcPr>
          <w:p w14:paraId="1FD933DA" w14:textId="0CF8945D" w:rsidR="003B3AA0" w:rsidRPr="004F0961" w:rsidRDefault="003B3AA0" w:rsidP="00F753F0">
            <w:pPr>
              <w:jc w:val="center"/>
              <w:rPr>
                <w:rFonts w:asciiTheme="majorHAnsi" w:hAnsiTheme="majorHAnsi" w:cstheme="majorHAnsi"/>
                <w:b/>
                <w:i/>
                <w:noProof w:val="0"/>
                <w:sz w:val="18"/>
                <w:szCs w:val="18"/>
              </w:rPr>
            </w:pPr>
            <w:r>
              <w:rPr>
                <w:rFonts w:asciiTheme="majorHAnsi" w:hAnsiTheme="majorHAnsi" w:cstheme="majorHAnsi"/>
                <w:i/>
                <w:sz w:val="20"/>
                <w:szCs w:val="20"/>
              </w:rPr>
              <w:t>In compliance</w:t>
            </w:r>
          </w:p>
        </w:tc>
        <w:tc>
          <w:tcPr>
            <w:tcW w:w="4860" w:type="dxa"/>
            <w:vAlign w:val="center"/>
          </w:tcPr>
          <w:p w14:paraId="6AA6E871" w14:textId="74112E96" w:rsidR="003B3AA0" w:rsidRPr="00F753F0" w:rsidRDefault="003B3AA0" w:rsidP="003865E4">
            <w:pPr>
              <w:jc w:val="center"/>
              <w:rPr>
                <w:rFonts w:asciiTheme="majorHAnsi" w:hAnsiTheme="majorHAnsi" w:cstheme="majorHAnsi"/>
                <w:i/>
                <w:sz w:val="20"/>
                <w:szCs w:val="20"/>
              </w:rPr>
            </w:pPr>
            <w:r w:rsidRPr="00F753F0">
              <w:rPr>
                <w:rFonts w:asciiTheme="majorHAnsi" w:hAnsiTheme="majorHAnsi" w:cstheme="majorHAnsi"/>
                <w:i/>
                <w:sz w:val="20"/>
                <w:szCs w:val="20"/>
              </w:rPr>
              <w:t>The CDB is executing its responsibilities established in the ESMS as set forth in the OM, in compliance with IDB environmental and social policies</w:t>
            </w:r>
          </w:p>
        </w:tc>
      </w:tr>
    </w:tbl>
    <w:p w14:paraId="3FD03409" w14:textId="77777777" w:rsidR="00B63FC7" w:rsidRPr="004F0961" w:rsidRDefault="00B63FC7">
      <w:pPr>
        <w:rPr>
          <w:rFonts w:asciiTheme="majorHAnsi" w:hAnsiTheme="majorHAnsi" w:cstheme="majorHAnsi"/>
          <w:noProof w:val="0"/>
          <w:sz w:val="20"/>
          <w:szCs w:val="20"/>
        </w:rPr>
        <w:sectPr w:rsidR="00B63FC7" w:rsidRPr="004F0961" w:rsidSect="000A3D98">
          <w:pgSz w:w="15840" w:h="12240" w:orient="landscape"/>
          <w:pgMar w:top="1800" w:right="1440" w:bottom="1800" w:left="1440" w:header="720" w:footer="720" w:gutter="0"/>
          <w:cols w:space="720"/>
          <w:docGrid w:linePitch="360"/>
        </w:sectPr>
      </w:pPr>
    </w:p>
    <w:p w14:paraId="40EE904A" w14:textId="77777777" w:rsidR="0048427C" w:rsidRPr="004F0961" w:rsidRDefault="0048427C" w:rsidP="00031CE1">
      <w:pPr>
        <w:rPr>
          <w:rFonts w:asciiTheme="majorHAnsi" w:hAnsiTheme="majorHAnsi" w:cstheme="majorHAnsi"/>
          <w:noProof w:val="0"/>
          <w:sz w:val="20"/>
          <w:szCs w:val="20"/>
        </w:rPr>
      </w:pPr>
    </w:p>
    <w:tbl>
      <w:tblPr>
        <w:tblW w:w="9203" w:type="dxa"/>
        <w:tblInd w:w="-458"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9203"/>
      </w:tblGrid>
      <w:tr w:rsidR="007D16F3" w:rsidRPr="004F0961" w14:paraId="2FE411B5" w14:textId="77777777" w:rsidTr="00F753F0">
        <w:trPr>
          <w:trHeight w:val="315"/>
        </w:trPr>
        <w:tc>
          <w:tcPr>
            <w:tcW w:w="9203" w:type="dxa"/>
            <w:tcBorders>
              <w:top w:val="single" w:sz="6" w:space="0" w:color="000000"/>
              <w:left w:val="single" w:sz="6" w:space="0" w:color="000000"/>
              <w:bottom w:val="single" w:sz="6" w:space="0" w:color="000000"/>
              <w:right w:val="single" w:sz="6" w:space="0" w:color="000000"/>
            </w:tcBorders>
            <w:shd w:val="clear" w:color="auto" w:fill="95B3D7" w:themeFill="accent1" w:themeFillTint="99"/>
            <w:tcMar>
              <w:top w:w="15" w:type="dxa"/>
              <w:left w:w="105" w:type="dxa"/>
              <w:bottom w:w="15" w:type="dxa"/>
              <w:right w:w="105" w:type="dxa"/>
            </w:tcMar>
            <w:vAlign w:val="center"/>
          </w:tcPr>
          <w:p w14:paraId="41F35A82" w14:textId="20CFB5FC" w:rsidR="007D16F3" w:rsidRPr="004F0961" w:rsidRDefault="007D16F3" w:rsidP="003865E4">
            <w:pPr>
              <w:rPr>
                <w:rFonts w:asciiTheme="majorHAnsi" w:eastAsia="Times New Roman" w:hAnsiTheme="majorHAnsi" w:cstheme="majorHAnsi"/>
                <w:b/>
                <w:bCs/>
                <w:color w:val="FFFFFF" w:themeColor="background1"/>
                <w:sz w:val="20"/>
                <w:szCs w:val="20"/>
              </w:rPr>
            </w:pPr>
            <w:r w:rsidRPr="004F0961">
              <w:rPr>
                <w:rFonts w:asciiTheme="majorHAnsi" w:eastAsia="Times New Roman" w:hAnsiTheme="majorHAnsi" w:cstheme="majorHAnsi"/>
                <w:b/>
                <w:bCs/>
                <w:color w:val="FFFFFF" w:themeColor="background1"/>
                <w:sz w:val="20"/>
                <w:szCs w:val="20"/>
              </w:rPr>
              <w:t>Annex 1: Environmental and Social Risk Rating</w:t>
            </w:r>
          </w:p>
        </w:tc>
      </w:tr>
      <w:tr w:rsidR="007D16F3" w:rsidRPr="004F0961" w14:paraId="626D157D" w14:textId="77777777" w:rsidTr="00F753F0">
        <w:trPr>
          <w:trHeight w:val="315"/>
        </w:trPr>
        <w:tc>
          <w:tcPr>
            <w:tcW w:w="9203"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05" w:type="dxa"/>
              <w:bottom w:w="15" w:type="dxa"/>
              <w:right w:w="105" w:type="dxa"/>
            </w:tcMar>
            <w:vAlign w:val="center"/>
          </w:tcPr>
          <w:p w14:paraId="741B9D43" w14:textId="46C7622A" w:rsidR="001E3201" w:rsidRPr="0045502E" w:rsidRDefault="00B45719" w:rsidP="00524207">
            <w:pPr>
              <w:rPr>
                <w:rFonts w:asciiTheme="majorHAnsi" w:eastAsia="Times New Roman" w:hAnsiTheme="majorHAnsi" w:cstheme="majorHAnsi"/>
                <w:bCs/>
                <w:sz w:val="22"/>
                <w:szCs w:val="22"/>
                <w:highlight w:val="yellow"/>
              </w:rPr>
            </w:pPr>
            <w:hyperlink r:id="rId9" w:history="1">
              <w:r w:rsidR="0045502E" w:rsidRPr="0045502E">
                <w:rPr>
                  <w:rStyle w:val="Hyperlink"/>
                  <w:sz w:val="22"/>
                  <w:szCs w:val="22"/>
                </w:rPr>
                <w:t>ESRR Link to Convergence</w:t>
              </w:r>
            </w:hyperlink>
          </w:p>
        </w:tc>
      </w:tr>
      <w:tr w:rsidR="00524207" w:rsidRPr="004F0961" w14:paraId="19A1CC3F" w14:textId="77777777" w:rsidTr="00F753F0">
        <w:trPr>
          <w:trHeight w:val="315"/>
        </w:trPr>
        <w:tc>
          <w:tcPr>
            <w:tcW w:w="9203" w:type="dxa"/>
            <w:tcBorders>
              <w:top w:val="single" w:sz="6" w:space="0" w:color="000000"/>
              <w:left w:val="single" w:sz="6" w:space="0" w:color="000000"/>
              <w:bottom w:val="single" w:sz="6" w:space="0" w:color="000000"/>
              <w:right w:val="single" w:sz="6" w:space="0" w:color="000000"/>
            </w:tcBorders>
            <w:shd w:val="clear" w:color="auto" w:fill="95B3D7" w:themeFill="accent1" w:themeFillTint="99"/>
            <w:tcMar>
              <w:top w:w="15" w:type="dxa"/>
              <w:left w:w="105" w:type="dxa"/>
              <w:bottom w:w="15" w:type="dxa"/>
              <w:right w:w="105" w:type="dxa"/>
            </w:tcMar>
            <w:vAlign w:val="center"/>
          </w:tcPr>
          <w:p w14:paraId="30932FE9" w14:textId="131D415D" w:rsidR="00524207" w:rsidRPr="004F0961" w:rsidRDefault="00524207" w:rsidP="00524207">
            <w:pPr>
              <w:rPr>
                <w:rFonts w:asciiTheme="majorHAnsi" w:eastAsia="Times New Roman" w:hAnsiTheme="majorHAnsi" w:cstheme="majorHAnsi"/>
                <w:b/>
                <w:bCs/>
                <w:color w:val="FFFFFF" w:themeColor="background1"/>
                <w:sz w:val="20"/>
                <w:szCs w:val="20"/>
              </w:rPr>
            </w:pPr>
            <w:bookmarkStart w:id="8" w:name="_Hlk485205576"/>
            <w:r w:rsidRPr="004F0961">
              <w:rPr>
                <w:rFonts w:asciiTheme="majorHAnsi" w:eastAsia="Times New Roman" w:hAnsiTheme="majorHAnsi" w:cstheme="majorHAnsi"/>
                <w:b/>
                <w:bCs/>
                <w:color w:val="FFFFFF" w:themeColor="background1"/>
                <w:sz w:val="20"/>
                <w:szCs w:val="20"/>
              </w:rPr>
              <w:t xml:space="preserve">Annex </w:t>
            </w:r>
            <w:r w:rsidR="007D16F3" w:rsidRPr="004F0961">
              <w:rPr>
                <w:rFonts w:asciiTheme="majorHAnsi" w:eastAsia="Times New Roman" w:hAnsiTheme="majorHAnsi" w:cstheme="majorHAnsi"/>
                <w:b/>
                <w:bCs/>
                <w:color w:val="FFFFFF" w:themeColor="background1"/>
                <w:sz w:val="20"/>
                <w:szCs w:val="20"/>
              </w:rPr>
              <w:t>2</w:t>
            </w:r>
            <w:r w:rsidRPr="004F0961">
              <w:rPr>
                <w:rFonts w:asciiTheme="majorHAnsi" w:eastAsia="Times New Roman" w:hAnsiTheme="majorHAnsi" w:cstheme="majorHAnsi"/>
                <w:b/>
                <w:bCs/>
                <w:color w:val="FFFFFF" w:themeColor="background1"/>
                <w:sz w:val="20"/>
                <w:szCs w:val="20"/>
              </w:rPr>
              <w:t>: Additional documents/information used to prepare the Supervision Report</w:t>
            </w:r>
            <w:r w:rsidR="00FB0E6D" w:rsidRPr="004F0961">
              <w:rPr>
                <w:rFonts w:asciiTheme="majorHAnsi" w:eastAsia="Times New Roman" w:hAnsiTheme="majorHAnsi" w:cstheme="majorHAnsi"/>
                <w:b/>
                <w:bCs/>
                <w:color w:val="FFFFFF" w:themeColor="background1"/>
                <w:sz w:val="20"/>
                <w:szCs w:val="20"/>
              </w:rPr>
              <w:t xml:space="preserve"> </w:t>
            </w:r>
            <w:bookmarkEnd w:id="8"/>
          </w:p>
        </w:tc>
      </w:tr>
      <w:tr w:rsidR="00524207" w:rsidRPr="004F0961" w14:paraId="063F3DA3" w14:textId="77777777" w:rsidTr="00F753F0">
        <w:trPr>
          <w:trHeight w:val="315"/>
        </w:trPr>
        <w:tc>
          <w:tcPr>
            <w:tcW w:w="9203"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15" w:type="dxa"/>
              <w:left w:w="105" w:type="dxa"/>
              <w:bottom w:w="15" w:type="dxa"/>
              <w:right w:w="105" w:type="dxa"/>
            </w:tcMar>
            <w:vAlign w:val="center"/>
          </w:tcPr>
          <w:p w14:paraId="6CC21A04" w14:textId="47B12C69" w:rsidR="00524207" w:rsidRPr="00C578EE" w:rsidRDefault="00524207" w:rsidP="00C578EE">
            <w:pPr>
              <w:rPr>
                <w:rStyle w:val="Hyperlink"/>
                <w:color w:val="auto"/>
                <w:u w:val="none"/>
              </w:rPr>
            </w:pPr>
          </w:p>
          <w:tbl>
            <w:tblPr>
              <w:tblW w:w="8480" w:type="dxa"/>
              <w:tblLayout w:type="fixed"/>
              <w:tblLook w:val="04A0" w:firstRow="1" w:lastRow="0" w:firstColumn="1" w:lastColumn="0" w:noHBand="0" w:noVBand="1"/>
            </w:tblPr>
            <w:tblGrid>
              <w:gridCol w:w="8480"/>
            </w:tblGrid>
            <w:tr w:rsidR="00C578EE" w:rsidRPr="00C578EE" w14:paraId="0360F7C8"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74A89B76" w14:textId="77777777" w:rsidR="00C578EE" w:rsidRPr="00C578EE" w:rsidRDefault="00B45719" w:rsidP="00C578EE">
                  <w:pPr>
                    <w:rPr>
                      <w:rFonts w:ascii="Calibri" w:eastAsia="Times New Roman" w:hAnsi="Calibri" w:cs="Calibri"/>
                      <w:noProof w:val="0"/>
                      <w:color w:val="0563C1"/>
                      <w:sz w:val="22"/>
                      <w:szCs w:val="22"/>
                      <w:u w:val="single"/>
                    </w:rPr>
                  </w:pPr>
                  <w:hyperlink r:id="rId10" w:history="1">
                    <w:proofErr w:type="spellStart"/>
                    <w:r w:rsidR="00C578EE" w:rsidRPr="00C578EE">
                      <w:rPr>
                        <w:rFonts w:ascii="Calibri" w:eastAsia="Times New Roman" w:hAnsi="Calibri" w:cs="Calibri"/>
                        <w:noProof w:val="0"/>
                        <w:color w:val="0563C1"/>
                        <w:sz w:val="22"/>
                        <w:szCs w:val="22"/>
                        <w:u w:val="single"/>
                      </w:rPr>
                      <w:t>UPDATED_SVGCL_Memo</w:t>
                    </w:r>
                    <w:proofErr w:type="spellEnd"/>
                    <w:r w:rsidR="00C578EE" w:rsidRPr="00C578EE">
                      <w:rPr>
                        <w:rFonts w:ascii="Calibri" w:eastAsia="Times New Roman" w:hAnsi="Calibri" w:cs="Calibri"/>
                        <w:noProof w:val="0"/>
                        <w:color w:val="0563C1"/>
                        <w:sz w:val="22"/>
                        <w:szCs w:val="22"/>
                        <w:u w:val="single"/>
                      </w:rPr>
                      <w:t xml:space="preserve"> on Non-compliances2.docx</w:t>
                    </w:r>
                  </w:hyperlink>
                </w:p>
              </w:tc>
            </w:tr>
            <w:tr w:rsidR="00C578EE" w:rsidRPr="005418CA" w14:paraId="52E57410"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auto" w:fill="auto"/>
                  <w:noWrap/>
                  <w:vAlign w:val="bottom"/>
                  <w:hideMark/>
                </w:tcPr>
                <w:p w14:paraId="3A0E5526" w14:textId="77777777" w:rsidR="00C578EE" w:rsidRPr="00C578EE" w:rsidRDefault="00B45719" w:rsidP="00C578EE">
                  <w:pPr>
                    <w:rPr>
                      <w:rFonts w:ascii="Calibri" w:eastAsia="Times New Roman" w:hAnsi="Calibri" w:cs="Calibri"/>
                      <w:noProof w:val="0"/>
                      <w:color w:val="0563C1"/>
                      <w:sz w:val="22"/>
                      <w:szCs w:val="22"/>
                      <w:u w:val="single"/>
                      <w:lang w:val="fr-FR"/>
                    </w:rPr>
                  </w:pPr>
                  <w:hyperlink r:id="rId11" w:history="1">
                    <w:proofErr w:type="spellStart"/>
                    <w:r w:rsidR="00C578EE" w:rsidRPr="00C578EE">
                      <w:rPr>
                        <w:rFonts w:ascii="Calibri" w:eastAsia="Times New Roman" w:hAnsi="Calibri" w:cs="Calibri"/>
                        <w:noProof w:val="0"/>
                        <w:color w:val="0563C1"/>
                        <w:sz w:val="22"/>
                        <w:szCs w:val="22"/>
                        <w:u w:val="single"/>
                        <w:lang w:val="fr-FR"/>
                      </w:rPr>
                      <w:t>SVGCL_Memo</w:t>
                    </w:r>
                    <w:proofErr w:type="spellEnd"/>
                    <w:r w:rsidR="00C578EE" w:rsidRPr="00C578EE">
                      <w:rPr>
                        <w:rFonts w:ascii="Calibri" w:eastAsia="Times New Roman" w:hAnsi="Calibri" w:cs="Calibri"/>
                        <w:noProof w:val="0"/>
                        <w:color w:val="0563C1"/>
                        <w:sz w:val="22"/>
                        <w:szCs w:val="22"/>
                        <w:u w:val="single"/>
                        <w:lang w:val="fr-FR"/>
                      </w:rPr>
                      <w:t xml:space="preserve"> on Non-compliances3.docx</w:t>
                    </w:r>
                  </w:hyperlink>
                </w:p>
              </w:tc>
            </w:tr>
            <w:tr w:rsidR="00C578EE" w:rsidRPr="005418CA" w14:paraId="3A829E9A"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47A25ACF" w14:textId="77777777" w:rsidR="00C578EE" w:rsidRPr="00C578EE" w:rsidRDefault="00B45719" w:rsidP="00C578EE">
                  <w:pPr>
                    <w:rPr>
                      <w:rFonts w:ascii="Calibri" w:eastAsia="Times New Roman" w:hAnsi="Calibri" w:cs="Calibri"/>
                      <w:noProof w:val="0"/>
                      <w:color w:val="0563C1"/>
                      <w:sz w:val="22"/>
                      <w:szCs w:val="22"/>
                      <w:u w:val="single"/>
                      <w:lang w:val="fr-FR"/>
                    </w:rPr>
                  </w:pPr>
                  <w:hyperlink r:id="rId12" w:history="1">
                    <w:proofErr w:type="spellStart"/>
                    <w:r w:rsidR="00C578EE" w:rsidRPr="00C578EE">
                      <w:rPr>
                        <w:rFonts w:ascii="Calibri" w:eastAsia="Times New Roman" w:hAnsi="Calibri" w:cs="Calibri"/>
                        <w:noProof w:val="0"/>
                        <w:color w:val="0563C1"/>
                        <w:sz w:val="22"/>
                        <w:szCs w:val="22"/>
                        <w:u w:val="single"/>
                        <w:lang w:val="fr-FR"/>
                      </w:rPr>
                      <w:t>SVGCL_Memo</w:t>
                    </w:r>
                    <w:proofErr w:type="spellEnd"/>
                    <w:r w:rsidR="00C578EE" w:rsidRPr="00C578EE">
                      <w:rPr>
                        <w:rFonts w:ascii="Calibri" w:eastAsia="Times New Roman" w:hAnsi="Calibri" w:cs="Calibri"/>
                        <w:noProof w:val="0"/>
                        <w:color w:val="0563C1"/>
                        <w:sz w:val="22"/>
                        <w:szCs w:val="22"/>
                        <w:u w:val="single"/>
                        <w:lang w:val="fr-FR"/>
                      </w:rPr>
                      <w:t xml:space="preserve"> on Non-compliances.docx</w:t>
                    </w:r>
                  </w:hyperlink>
                </w:p>
              </w:tc>
            </w:tr>
            <w:tr w:rsidR="00C578EE" w:rsidRPr="00C578EE" w14:paraId="0BABADF0"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auto" w:fill="auto"/>
                  <w:noWrap/>
                  <w:vAlign w:val="bottom"/>
                  <w:hideMark/>
                </w:tcPr>
                <w:p w14:paraId="400B46E6" w14:textId="77777777" w:rsidR="00C578EE" w:rsidRPr="00C578EE" w:rsidRDefault="00B45719" w:rsidP="00C578EE">
                  <w:pPr>
                    <w:rPr>
                      <w:rFonts w:ascii="Calibri" w:eastAsia="Times New Roman" w:hAnsi="Calibri" w:cs="Calibri"/>
                      <w:noProof w:val="0"/>
                      <w:color w:val="0563C1"/>
                      <w:sz w:val="22"/>
                      <w:szCs w:val="22"/>
                      <w:u w:val="single"/>
                    </w:rPr>
                  </w:pPr>
                  <w:hyperlink r:id="rId13" w:history="1">
                    <w:r w:rsidR="00C578EE" w:rsidRPr="00C578EE">
                      <w:rPr>
                        <w:rFonts w:ascii="Calibri" w:eastAsia="Times New Roman" w:hAnsi="Calibri" w:cs="Calibri"/>
                        <w:noProof w:val="0"/>
                        <w:color w:val="0563C1"/>
                        <w:sz w:val="22"/>
                        <w:szCs w:val="22"/>
                        <w:u w:val="single"/>
                      </w:rPr>
                      <w:t>SVGCL Report.pdf</w:t>
                    </w:r>
                  </w:hyperlink>
                </w:p>
              </w:tc>
            </w:tr>
            <w:tr w:rsidR="00C578EE" w:rsidRPr="00C578EE" w14:paraId="334003A7"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543C957F" w14:textId="77777777" w:rsidR="00C578EE" w:rsidRPr="00C578EE" w:rsidRDefault="00B45719" w:rsidP="00C578EE">
                  <w:pPr>
                    <w:rPr>
                      <w:rFonts w:ascii="Calibri" w:eastAsia="Times New Roman" w:hAnsi="Calibri" w:cs="Calibri"/>
                      <w:noProof w:val="0"/>
                      <w:color w:val="0563C1"/>
                      <w:sz w:val="22"/>
                      <w:szCs w:val="22"/>
                      <w:u w:val="single"/>
                    </w:rPr>
                  </w:pPr>
                  <w:hyperlink r:id="rId14" w:history="1">
                    <w:r w:rsidR="00C578EE" w:rsidRPr="00C578EE">
                      <w:rPr>
                        <w:rFonts w:ascii="Calibri" w:eastAsia="Times New Roman" w:hAnsi="Calibri" w:cs="Calibri"/>
                        <w:noProof w:val="0"/>
                        <w:color w:val="0563C1"/>
                        <w:sz w:val="22"/>
                        <w:szCs w:val="22"/>
                        <w:u w:val="single"/>
                      </w:rPr>
                      <w:t>SVGCL Report (1).pdf</w:t>
                    </w:r>
                  </w:hyperlink>
                </w:p>
              </w:tc>
            </w:tr>
            <w:tr w:rsidR="00C578EE" w:rsidRPr="00C578EE" w14:paraId="50492E2E"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auto" w:fill="auto"/>
                  <w:noWrap/>
                  <w:vAlign w:val="bottom"/>
                  <w:hideMark/>
                </w:tcPr>
                <w:p w14:paraId="39D8E154" w14:textId="77777777" w:rsidR="00C578EE" w:rsidRPr="00C578EE" w:rsidRDefault="00B45719" w:rsidP="00C578EE">
                  <w:pPr>
                    <w:rPr>
                      <w:rFonts w:ascii="Calibri" w:eastAsia="Times New Roman" w:hAnsi="Calibri" w:cs="Calibri"/>
                      <w:noProof w:val="0"/>
                      <w:color w:val="0563C1"/>
                      <w:sz w:val="22"/>
                      <w:szCs w:val="22"/>
                      <w:u w:val="single"/>
                    </w:rPr>
                  </w:pPr>
                  <w:hyperlink r:id="rId15" w:history="1">
                    <w:r w:rsidR="00C578EE" w:rsidRPr="00C578EE">
                      <w:rPr>
                        <w:rFonts w:ascii="Calibri" w:eastAsia="Times New Roman" w:hAnsi="Calibri" w:cs="Calibri"/>
                        <w:noProof w:val="0"/>
                        <w:color w:val="0563C1"/>
                        <w:sz w:val="22"/>
                        <w:szCs w:val="22"/>
                        <w:u w:val="single"/>
                      </w:rPr>
                      <w:t>SVG Geothermal Drilling Project 2 Social and Gender Impact Assessment.docx</w:t>
                    </w:r>
                  </w:hyperlink>
                </w:p>
              </w:tc>
            </w:tr>
            <w:tr w:rsidR="00C578EE" w:rsidRPr="00C578EE" w14:paraId="40B0E51F"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227D6C4F" w14:textId="77777777" w:rsidR="00C578EE" w:rsidRPr="00C578EE" w:rsidRDefault="00B45719" w:rsidP="00C578EE">
                  <w:pPr>
                    <w:rPr>
                      <w:rFonts w:ascii="Calibri" w:eastAsia="Times New Roman" w:hAnsi="Calibri" w:cs="Calibri"/>
                      <w:noProof w:val="0"/>
                      <w:color w:val="0563C1"/>
                      <w:sz w:val="22"/>
                      <w:szCs w:val="22"/>
                      <w:u w:val="single"/>
                    </w:rPr>
                  </w:pPr>
                  <w:hyperlink r:id="rId16" w:history="1">
                    <w:r w:rsidR="00C578EE" w:rsidRPr="00C578EE">
                      <w:rPr>
                        <w:rFonts w:ascii="Calibri" w:eastAsia="Times New Roman" w:hAnsi="Calibri" w:cs="Calibri"/>
                        <w:noProof w:val="0"/>
                        <w:color w:val="0563C1"/>
                        <w:sz w:val="22"/>
                        <w:szCs w:val="22"/>
                        <w:u w:val="single"/>
                      </w:rPr>
                      <w:t>Stakeholder Engagement Jan 2019 - March 2020.xlsx</w:t>
                    </w:r>
                  </w:hyperlink>
                </w:p>
              </w:tc>
            </w:tr>
            <w:tr w:rsidR="00C578EE" w:rsidRPr="00C578EE" w14:paraId="471B340D"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auto" w:fill="auto"/>
                  <w:noWrap/>
                  <w:vAlign w:val="bottom"/>
                  <w:hideMark/>
                </w:tcPr>
                <w:p w14:paraId="5D52A89B" w14:textId="77777777" w:rsidR="00C578EE" w:rsidRPr="00C578EE" w:rsidRDefault="00B45719" w:rsidP="00C578EE">
                  <w:pPr>
                    <w:rPr>
                      <w:rFonts w:ascii="Calibri" w:eastAsia="Times New Roman" w:hAnsi="Calibri" w:cs="Calibri"/>
                      <w:noProof w:val="0"/>
                      <w:color w:val="0563C1"/>
                      <w:sz w:val="22"/>
                      <w:szCs w:val="22"/>
                      <w:u w:val="single"/>
                    </w:rPr>
                  </w:pPr>
                  <w:hyperlink r:id="rId17" w:history="1">
                    <w:r w:rsidR="00C578EE" w:rsidRPr="00C578EE">
                      <w:rPr>
                        <w:rFonts w:ascii="Calibri" w:eastAsia="Times New Roman" w:hAnsi="Calibri" w:cs="Calibri"/>
                        <w:noProof w:val="0"/>
                        <w:color w:val="0563C1"/>
                        <w:sz w:val="22"/>
                        <w:szCs w:val="22"/>
                        <w:u w:val="single"/>
                      </w:rPr>
                      <w:t>SITE ASSESMENT.docx</w:t>
                    </w:r>
                  </w:hyperlink>
                </w:p>
              </w:tc>
            </w:tr>
            <w:tr w:rsidR="00C578EE" w:rsidRPr="00C578EE" w14:paraId="55FDA7D5"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79A8A638" w14:textId="77777777" w:rsidR="00C578EE" w:rsidRPr="00C578EE" w:rsidRDefault="00B45719" w:rsidP="00C578EE">
                  <w:pPr>
                    <w:rPr>
                      <w:rFonts w:ascii="Calibri" w:eastAsia="Times New Roman" w:hAnsi="Calibri" w:cs="Calibri"/>
                      <w:noProof w:val="0"/>
                      <w:color w:val="0563C1"/>
                      <w:sz w:val="22"/>
                      <w:szCs w:val="22"/>
                      <w:u w:val="single"/>
                    </w:rPr>
                  </w:pPr>
                  <w:hyperlink r:id="rId18" w:history="1">
                    <w:r w:rsidR="00C578EE" w:rsidRPr="00C578EE">
                      <w:rPr>
                        <w:rFonts w:ascii="Calibri" w:eastAsia="Times New Roman" w:hAnsi="Calibri" w:cs="Calibri"/>
                        <w:noProof w:val="0"/>
                        <w:color w:val="0563C1"/>
                        <w:sz w:val="22"/>
                        <w:szCs w:val="22"/>
                        <w:u w:val="single"/>
                      </w:rPr>
                      <w:t>SEP Update 4th Quarter 2019.docx</w:t>
                    </w:r>
                  </w:hyperlink>
                </w:p>
              </w:tc>
            </w:tr>
            <w:tr w:rsidR="00C578EE" w:rsidRPr="00C578EE" w14:paraId="7FF5F26D"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auto" w:fill="auto"/>
                  <w:noWrap/>
                  <w:vAlign w:val="bottom"/>
                  <w:hideMark/>
                </w:tcPr>
                <w:p w14:paraId="7F1C6905" w14:textId="77777777" w:rsidR="00C578EE" w:rsidRPr="00C578EE" w:rsidRDefault="00B45719" w:rsidP="00C578EE">
                  <w:pPr>
                    <w:rPr>
                      <w:rFonts w:ascii="Calibri" w:eastAsia="Times New Roman" w:hAnsi="Calibri" w:cs="Calibri"/>
                      <w:noProof w:val="0"/>
                      <w:color w:val="0563C1"/>
                      <w:sz w:val="22"/>
                      <w:szCs w:val="22"/>
                      <w:u w:val="single"/>
                    </w:rPr>
                  </w:pPr>
                  <w:hyperlink r:id="rId19" w:history="1">
                    <w:r w:rsidR="00C578EE" w:rsidRPr="00C578EE">
                      <w:rPr>
                        <w:rFonts w:ascii="Calibri" w:eastAsia="Times New Roman" w:hAnsi="Calibri" w:cs="Calibri"/>
                        <w:noProof w:val="0"/>
                        <w:color w:val="0563C1"/>
                        <w:sz w:val="22"/>
                        <w:szCs w:val="22"/>
                        <w:u w:val="single"/>
                      </w:rPr>
                      <w:t>SEP Update 2nd Quarter 2020.docx</w:t>
                    </w:r>
                  </w:hyperlink>
                </w:p>
              </w:tc>
            </w:tr>
            <w:tr w:rsidR="00C578EE" w:rsidRPr="00C578EE" w14:paraId="6AF6D90B"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19624B7E" w14:textId="77777777" w:rsidR="00C578EE" w:rsidRPr="00C578EE" w:rsidRDefault="00B45719" w:rsidP="00C578EE">
                  <w:pPr>
                    <w:rPr>
                      <w:rFonts w:ascii="Calibri" w:eastAsia="Times New Roman" w:hAnsi="Calibri" w:cs="Calibri"/>
                      <w:noProof w:val="0"/>
                      <w:color w:val="0563C1"/>
                      <w:sz w:val="22"/>
                      <w:szCs w:val="22"/>
                      <w:u w:val="single"/>
                    </w:rPr>
                  </w:pPr>
                  <w:hyperlink r:id="rId20" w:history="1">
                    <w:r w:rsidR="00C578EE" w:rsidRPr="00C578EE">
                      <w:rPr>
                        <w:rFonts w:ascii="Calibri" w:eastAsia="Times New Roman" w:hAnsi="Calibri" w:cs="Calibri"/>
                        <w:noProof w:val="0"/>
                        <w:color w:val="0563C1"/>
                        <w:sz w:val="22"/>
                        <w:szCs w:val="22"/>
                        <w:u w:val="single"/>
                      </w:rPr>
                      <w:t xml:space="preserve">Message from </w:t>
                    </w:r>
                    <w:proofErr w:type="spellStart"/>
                    <w:r w:rsidR="00C578EE" w:rsidRPr="00C578EE">
                      <w:rPr>
                        <w:rFonts w:ascii="Calibri" w:eastAsia="Times New Roman" w:hAnsi="Calibri" w:cs="Calibri"/>
                        <w:noProof w:val="0"/>
                        <w:color w:val="0563C1"/>
                        <w:sz w:val="22"/>
                        <w:szCs w:val="22"/>
                        <w:u w:val="single"/>
                      </w:rPr>
                      <w:t>Shurman</w:t>
                    </w:r>
                    <w:proofErr w:type="spellEnd"/>
                    <w:r w:rsidR="00C578EE" w:rsidRPr="00C578EE">
                      <w:rPr>
                        <w:rFonts w:ascii="Calibri" w:eastAsia="Times New Roman" w:hAnsi="Calibri" w:cs="Calibri"/>
                        <w:noProof w:val="0"/>
                        <w:color w:val="0563C1"/>
                        <w:sz w:val="22"/>
                        <w:szCs w:val="22"/>
                        <w:u w:val="single"/>
                      </w:rPr>
                      <w:t xml:space="preserve"> Matthew.docx</w:t>
                    </w:r>
                  </w:hyperlink>
                </w:p>
              </w:tc>
            </w:tr>
            <w:tr w:rsidR="00C578EE" w:rsidRPr="00C578EE" w14:paraId="39AEEC47"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auto" w:fill="auto"/>
                  <w:noWrap/>
                  <w:vAlign w:val="bottom"/>
                  <w:hideMark/>
                </w:tcPr>
                <w:p w14:paraId="1AF164A6" w14:textId="77777777" w:rsidR="00C578EE" w:rsidRPr="00C578EE" w:rsidRDefault="00B45719" w:rsidP="00C578EE">
                  <w:pPr>
                    <w:rPr>
                      <w:rFonts w:ascii="Calibri" w:eastAsia="Times New Roman" w:hAnsi="Calibri" w:cs="Calibri"/>
                      <w:noProof w:val="0"/>
                      <w:color w:val="0563C1"/>
                      <w:sz w:val="22"/>
                      <w:szCs w:val="22"/>
                      <w:u w:val="single"/>
                    </w:rPr>
                  </w:pPr>
                  <w:hyperlink r:id="rId21" w:history="1">
                    <w:r w:rsidR="00C578EE" w:rsidRPr="00C578EE">
                      <w:rPr>
                        <w:rFonts w:ascii="Calibri" w:eastAsia="Times New Roman" w:hAnsi="Calibri" w:cs="Calibri"/>
                        <w:noProof w:val="0"/>
                        <w:color w:val="0563C1"/>
                        <w:sz w:val="22"/>
                        <w:szCs w:val="22"/>
                        <w:u w:val="single"/>
                      </w:rPr>
                      <w:t>ME Report_2020-Q2.docx</w:t>
                    </w:r>
                  </w:hyperlink>
                </w:p>
              </w:tc>
            </w:tr>
            <w:tr w:rsidR="00C578EE" w:rsidRPr="00C578EE" w14:paraId="70000258"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06AB2D93" w14:textId="77777777" w:rsidR="00C578EE" w:rsidRPr="00C578EE" w:rsidRDefault="00B45719" w:rsidP="00C578EE">
                  <w:pPr>
                    <w:rPr>
                      <w:rFonts w:ascii="Calibri" w:eastAsia="Times New Roman" w:hAnsi="Calibri" w:cs="Calibri"/>
                      <w:noProof w:val="0"/>
                      <w:color w:val="0563C1"/>
                      <w:sz w:val="22"/>
                      <w:szCs w:val="22"/>
                      <w:u w:val="single"/>
                    </w:rPr>
                  </w:pPr>
                  <w:hyperlink r:id="rId22" w:history="1">
                    <w:r w:rsidR="00C578EE" w:rsidRPr="00C578EE">
                      <w:rPr>
                        <w:rFonts w:ascii="Calibri" w:eastAsia="Times New Roman" w:hAnsi="Calibri" w:cs="Calibri"/>
                        <w:noProof w:val="0"/>
                        <w:color w:val="0563C1"/>
                        <w:sz w:val="22"/>
                        <w:szCs w:val="22"/>
                        <w:u w:val="single"/>
                      </w:rPr>
                      <w:t>ME Report_2020-Q1.docx</w:t>
                    </w:r>
                  </w:hyperlink>
                </w:p>
              </w:tc>
            </w:tr>
            <w:tr w:rsidR="00C578EE" w:rsidRPr="00C578EE" w14:paraId="42137B1E"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auto" w:fill="auto"/>
                  <w:noWrap/>
                  <w:vAlign w:val="bottom"/>
                  <w:hideMark/>
                </w:tcPr>
                <w:p w14:paraId="4B66CEAC" w14:textId="77777777" w:rsidR="00C578EE" w:rsidRPr="00C578EE" w:rsidRDefault="00B45719" w:rsidP="00C578EE">
                  <w:pPr>
                    <w:rPr>
                      <w:rFonts w:ascii="Calibri" w:eastAsia="Times New Roman" w:hAnsi="Calibri" w:cs="Calibri"/>
                      <w:noProof w:val="0"/>
                      <w:color w:val="0563C1"/>
                      <w:sz w:val="22"/>
                      <w:szCs w:val="22"/>
                      <w:u w:val="single"/>
                    </w:rPr>
                  </w:pPr>
                  <w:hyperlink r:id="rId23" w:history="1">
                    <w:r w:rsidR="00C578EE" w:rsidRPr="00C578EE">
                      <w:rPr>
                        <w:rFonts w:ascii="Calibri" w:eastAsia="Times New Roman" w:hAnsi="Calibri" w:cs="Calibri"/>
                        <w:noProof w:val="0"/>
                        <w:color w:val="0563C1"/>
                        <w:sz w:val="22"/>
                        <w:szCs w:val="22"/>
                        <w:u w:val="single"/>
                      </w:rPr>
                      <w:t>ME Report_2019-Q4.docx</w:t>
                    </w:r>
                  </w:hyperlink>
                </w:p>
              </w:tc>
            </w:tr>
            <w:tr w:rsidR="00C578EE" w:rsidRPr="00C578EE" w14:paraId="0DFF340C"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0067178D" w14:textId="77777777" w:rsidR="00C578EE" w:rsidRPr="00C578EE" w:rsidRDefault="00B45719" w:rsidP="00C578EE">
                  <w:pPr>
                    <w:rPr>
                      <w:rFonts w:ascii="Calibri" w:eastAsia="Times New Roman" w:hAnsi="Calibri" w:cs="Calibri"/>
                      <w:noProof w:val="0"/>
                      <w:color w:val="0563C1"/>
                      <w:sz w:val="22"/>
                      <w:szCs w:val="22"/>
                      <w:u w:val="single"/>
                    </w:rPr>
                  </w:pPr>
                  <w:hyperlink r:id="rId24" w:history="1">
                    <w:r w:rsidR="00C578EE" w:rsidRPr="00C578EE">
                      <w:rPr>
                        <w:rFonts w:ascii="Calibri" w:eastAsia="Times New Roman" w:hAnsi="Calibri" w:cs="Calibri"/>
                        <w:noProof w:val="0"/>
                        <w:color w:val="0563C1"/>
                        <w:sz w:val="22"/>
                        <w:szCs w:val="22"/>
                        <w:u w:val="single"/>
                      </w:rPr>
                      <w:t>Geothermal Report.pdf</w:t>
                    </w:r>
                  </w:hyperlink>
                </w:p>
              </w:tc>
            </w:tr>
            <w:tr w:rsidR="00C578EE" w:rsidRPr="005418CA" w14:paraId="4AE93371"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auto" w:fill="auto"/>
                  <w:noWrap/>
                  <w:vAlign w:val="bottom"/>
                  <w:hideMark/>
                </w:tcPr>
                <w:p w14:paraId="127C7034" w14:textId="77777777" w:rsidR="00C578EE" w:rsidRPr="00C578EE" w:rsidRDefault="00B45719" w:rsidP="00C578EE">
                  <w:pPr>
                    <w:rPr>
                      <w:rFonts w:ascii="Calibri" w:eastAsia="Times New Roman" w:hAnsi="Calibri" w:cs="Calibri"/>
                      <w:noProof w:val="0"/>
                      <w:color w:val="0563C1"/>
                      <w:sz w:val="22"/>
                      <w:szCs w:val="22"/>
                      <w:u w:val="single"/>
                      <w:lang w:val="fr-FR"/>
                    </w:rPr>
                  </w:pPr>
                  <w:hyperlink r:id="rId25" w:history="1">
                    <w:r w:rsidR="00C578EE" w:rsidRPr="00C578EE">
                      <w:rPr>
                        <w:rFonts w:ascii="Calibri" w:eastAsia="Times New Roman" w:hAnsi="Calibri" w:cs="Calibri"/>
                        <w:noProof w:val="0"/>
                        <w:color w:val="0563C1"/>
                        <w:sz w:val="22"/>
                        <w:szCs w:val="22"/>
                        <w:u w:val="single"/>
                        <w:lang w:val="fr-FR"/>
                      </w:rPr>
                      <w:t xml:space="preserve">FW </w:t>
                    </w:r>
                    <w:proofErr w:type="spellStart"/>
                    <w:r w:rsidR="00C578EE" w:rsidRPr="00C578EE">
                      <w:rPr>
                        <w:rFonts w:ascii="Calibri" w:eastAsia="Times New Roman" w:hAnsi="Calibri" w:cs="Calibri"/>
                        <w:noProof w:val="0"/>
                        <w:color w:val="0563C1"/>
                        <w:sz w:val="22"/>
                        <w:szCs w:val="22"/>
                        <w:u w:val="single"/>
                        <w:lang w:val="fr-FR"/>
                      </w:rPr>
                      <w:t>SVGCL_Memo</w:t>
                    </w:r>
                    <w:proofErr w:type="spellEnd"/>
                    <w:r w:rsidR="00C578EE" w:rsidRPr="00C578EE">
                      <w:rPr>
                        <w:rFonts w:ascii="Calibri" w:eastAsia="Times New Roman" w:hAnsi="Calibri" w:cs="Calibri"/>
                        <w:noProof w:val="0"/>
                        <w:color w:val="0563C1"/>
                        <w:sz w:val="22"/>
                        <w:szCs w:val="22"/>
                        <w:u w:val="single"/>
                        <w:lang w:val="fr-FR"/>
                      </w:rPr>
                      <w:t xml:space="preserve"> on Non-compliances.msg</w:t>
                    </w:r>
                  </w:hyperlink>
                </w:p>
              </w:tc>
            </w:tr>
            <w:tr w:rsidR="00C578EE" w:rsidRPr="00C578EE" w14:paraId="6B69E0CA"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6F675D0E" w14:textId="77777777" w:rsidR="00C578EE" w:rsidRPr="00C578EE" w:rsidRDefault="00B45719" w:rsidP="00C578EE">
                  <w:pPr>
                    <w:rPr>
                      <w:rFonts w:ascii="Calibri" w:eastAsia="Times New Roman" w:hAnsi="Calibri" w:cs="Calibri"/>
                      <w:noProof w:val="0"/>
                      <w:color w:val="0563C1"/>
                      <w:sz w:val="22"/>
                      <w:szCs w:val="22"/>
                      <w:u w:val="single"/>
                    </w:rPr>
                  </w:pPr>
                  <w:hyperlink r:id="rId26" w:history="1">
                    <w:r w:rsidR="00C578EE" w:rsidRPr="00C578EE">
                      <w:rPr>
                        <w:rFonts w:ascii="Calibri" w:eastAsia="Times New Roman" w:hAnsi="Calibri" w:cs="Calibri"/>
                        <w:noProof w:val="0"/>
                        <w:color w:val="0563C1"/>
                        <w:sz w:val="22"/>
                        <w:szCs w:val="22"/>
                        <w:u w:val="single"/>
                      </w:rPr>
                      <w:t xml:space="preserve">DRAFT environmental input to SVG geothermal drilling </w:t>
                    </w:r>
                    <w:proofErr w:type="spellStart"/>
                    <w:r w:rsidR="00C578EE" w:rsidRPr="00C578EE">
                      <w:rPr>
                        <w:rFonts w:ascii="Calibri" w:eastAsia="Times New Roman" w:hAnsi="Calibri" w:cs="Calibri"/>
                        <w:noProof w:val="0"/>
                        <w:color w:val="0563C1"/>
                        <w:sz w:val="22"/>
                        <w:szCs w:val="22"/>
                        <w:u w:val="single"/>
                      </w:rPr>
                      <w:t>project_May</w:t>
                    </w:r>
                    <w:proofErr w:type="spellEnd"/>
                    <w:r w:rsidR="00C578EE" w:rsidRPr="00C578EE">
                      <w:rPr>
                        <w:rFonts w:ascii="Calibri" w:eastAsia="Times New Roman" w:hAnsi="Calibri" w:cs="Calibri"/>
                        <w:noProof w:val="0"/>
                        <w:color w:val="0563C1"/>
                        <w:sz w:val="22"/>
                        <w:szCs w:val="22"/>
                        <w:u w:val="single"/>
                      </w:rPr>
                      <w:t xml:space="preserve"> 20_ 2020_sent to LB.docx</w:t>
                    </w:r>
                  </w:hyperlink>
                </w:p>
              </w:tc>
            </w:tr>
            <w:tr w:rsidR="00C578EE" w:rsidRPr="00C578EE" w14:paraId="01C0751D"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auto" w:fill="auto"/>
                  <w:noWrap/>
                  <w:vAlign w:val="bottom"/>
                  <w:hideMark/>
                </w:tcPr>
                <w:p w14:paraId="57E18537" w14:textId="77777777" w:rsidR="00C578EE" w:rsidRPr="00C578EE" w:rsidRDefault="00B45719" w:rsidP="00C578EE">
                  <w:pPr>
                    <w:rPr>
                      <w:rFonts w:ascii="Calibri" w:eastAsia="Times New Roman" w:hAnsi="Calibri" w:cs="Calibri"/>
                      <w:noProof w:val="0"/>
                      <w:color w:val="0563C1"/>
                      <w:sz w:val="22"/>
                      <w:szCs w:val="22"/>
                      <w:u w:val="single"/>
                    </w:rPr>
                  </w:pPr>
                  <w:hyperlink r:id="rId27" w:history="1">
                    <w:r w:rsidR="00C578EE" w:rsidRPr="00C578EE">
                      <w:rPr>
                        <w:rFonts w:ascii="Calibri" w:eastAsia="Times New Roman" w:hAnsi="Calibri" w:cs="Calibri"/>
                        <w:noProof w:val="0"/>
                        <w:color w:val="0563C1"/>
                        <w:sz w:val="22"/>
                        <w:szCs w:val="22"/>
                        <w:u w:val="single"/>
                      </w:rPr>
                      <w:t>CompletionAudit_2020 (RM).docx</w:t>
                    </w:r>
                  </w:hyperlink>
                </w:p>
              </w:tc>
            </w:tr>
            <w:tr w:rsidR="00C578EE" w:rsidRPr="00C578EE" w14:paraId="3713B9D4" w14:textId="77777777" w:rsidTr="00C578EE">
              <w:trPr>
                <w:trHeight w:val="288"/>
              </w:trPr>
              <w:tc>
                <w:tcPr>
                  <w:tcW w:w="8480" w:type="dxa"/>
                  <w:tcBorders>
                    <w:top w:val="single" w:sz="4" w:space="0" w:color="8EA9DB"/>
                    <w:left w:val="single" w:sz="4" w:space="0" w:color="8EA9DB"/>
                    <w:bottom w:val="single" w:sz="4" w:space="0" w:color="8EA9DB"/>
                    <w:right w:val="nil"/>
                  </w:tcBorders>
                  <w:shd w:val="clear" w:color="D9E1F2" w:fill="D9E1F2"/>
                  <w:noWrap/>
                  <w:vAlign w:val="bottom"/>
                  <w:hideMark/>
                </w:tcPr>
                <w:p w14:paraId="4F597CC0" w14:textId="77777777" w:rsidR="00C578EE" w:rsidRPr="00C578EE" w:rsidRDefault="00B45719" w:rsidP="00C578EE">
                  <w:pPr>
                    <w:rPr>
                      <w:rFonts w:ascii="Calibri" w:eastAsia="Times New Roman" w:hAnsi="Calibri" w:cs="Calibri"/>
                      <w:noProof w:val="0"/>
                      <w:color w:val="0563C1"/>
                      <w:sz w:val="22"/>
                      <w:szCs w:val="22"/>
                      <w:u w:val="single"/>
                    </w:rPr>
                  </w:pPr>
                  <w:hyperlink r:id="rId28" w:history="1">
                    <w:r w:rsidR="00C578EE" w:rsidRPr="00C578EE">
                      <w:rPr>
                        <w:rFonts w:ascii="Calibri" w:eastAsia="Times New Roman" w:hAnsi="Calibri" w:cs="Calibri"/>
                        <w:noProof w:val="0"/>
                        <w:color w:val="0563C1"/>
                        <w:sz w:val="22"/>
                        <w:szCs w:val="22"/>
                        <w:u w:val="single"/>
                      </w:rPr>
                      <w:t>CLO RAP Update March 31 2020.docx</w:t>
                    </w:r>
                  </w:hyperlink>
                </w:p>
              </w:tc>
            </w:tr>
          </w:tbl>
          <w:p w14:paraId="6F25551D" w14:textId="74E41337" w:rsidR="00C578EE" w:rsidRPr="004F0961" w:rsidRDefault="00C578EE" w:rsidP="00C578EE">
            <w:pPr>
              <w:pStyle w:val="ListParagraph"/>
            </w:pPr>
          </w:p>
        </w:tc>
      </w:tr>
      <w:tr w:rsidR="009D4321" w:rsidRPr="004F0961" w14:paraId="23042DA7" w14:textId="77777777" w:rsidTr="00F753F0">
        <w:trPr>
          <w:trHeight w:val="315"/>
        </w:trPr>
        <w:tc>
          <w:tcPr>
            <w:tcW w:w="9203" w:type="dxa"/>
            <w:tcBorders>
              <w:top w:val="single" w:sz="6" w:space="0" w:color="000000"/>
              <w:left w:val="single" w:sz="6" w:space="0" w:color="000000"/>
              <w:bottom w:val="single" w:sz="6" w:space="0" w:color="000000"/>
              <w:right w:val="single" w:sz="6" w:space="0" w:color="000000"/>
            </w:tcBorders>
            <w:shd w:val="clear" w:color="auto" w:fill="95B3D7" w:themeFill="accent1" w:themeFillTint="99"/>
            <w:tcMar>
              <w:top w:w="15" w:type="dxa"/>
              <w:left w:w="105" w:type="dxa"/>
              <w:bottom w:w="15" w:type="dxa"/>
              <w:right w:w="105" w:type="dxa"/>
            </w:tcMar>
            <w:vAlign w:val="center"/>
            <w:hideMark/>
          </w:tcPr>
          <w:p w14:paraId="69F97B83" w14:textId="6106FE9D" w:rsidR="009D4321" w:rsidRPr="004F0961" w:rsidRDefault="009D4321" w:rsidP="00524207">
            <w:pPr>
              <w:rPr>
                <w:rFonts w:asciiTheme="majorHAnsi" w:eastAsia="Times New Roman" w:hAnsiTheme="majorHAnsi" w:cstheme="majorHAnsi"/>
                <w:b/>
                <w:bCs/>
                <w:color w:val="FFFFFF" w:themeColor="background1"/>
                <w:sz w:val="20"/>
                <w:szCs w:val="20"/>
              </w:rPr>
            </w:pPr>
            <w:bookmarkStart w:id="9" w:name="_Hlk485205597"/>
            <w:r w:rsidRPr="004F0961">
              <w:rPr>
                <w:rFonts w:asciiTheme="majorHAnsi" w:eastAsia="Times New Roman" w:hAnsiTheme="majorHAnsi" w:cstheme="majorHAnsi"/>
                <w:b/>
                <w:bCs/>
                <w:color w:val="FFFFFF" w:themeColor="background1"/>
                <w:sz w:val="20"/>
                <w:szCs w:val="20"/>
              </w:rPr>
              <w:t xml:space="preserve">Annex </w:t>
            </w:r>
            <w:r w:rsidR="007D16F3" w:rsidRPr="004F0961">
              <w:rPr>
                <w:rFonts w:asciiTheme="majorHAnsi" w:eastAsia="Times New Roman" w:hAnsiTheme="majorHAnsi" w:cstheme="majorHAnsi"/>
                <w:b/>
                <w:bCs/>
                <w:color w:val="FFFFFF" w:themeColor="background1"/>
                <w:sz w:val="20"/>
                <w:szCs w:val="20"/>
              </w:rPr>
              <w:t>3</w:t>
            </w:r>
            <w:r w:rsidR="00CA3C15" w:rsidRPr="004F0961">
              <w:rPr>
                <w:rFonts w:asciiTheme="majorHAnsi" w:eastAsia="Times New Roman" w:hAnsiTheme="majorHAnsi" w:cstheme="majorHAnsi"/>
                <w:b/>
                <w:bCs/>
                <w:color w:val="FFFFFF" w:themeColor="background1"/>
                <w:sz w:val="20"/>
                <w:szCs w:val="20"/>
              </w:rPr>
              <w:t>:</w:t>
            </w:r>
            <w:r w:rsidR="00B5462F" w:rsidRPr="004F0961">
              <w:rPr>
                <w:rFonts w:asciiTheme="majorHAnsi" w:eastAsia="Times New Roman" w:hAnsiTheme="majorHAnsi" w:cstheme="majorHAnsi"/>
                <w:b/>
                <w:bCs/>
                <w:color w:val="FFFFFF" w:themeColor="background1"/>
                <w:sz w:val="20"/>
                <w:szCs w:val="20"/>
              </w:rPr>
              <w:t xml:space="preserve">  </w:t>
            </w:r>
            <w:r w:rsidR="009D666D" w:rsidRPr="004F0961">
              <w:rPr>
                <w:rFonts w:asciiTheme="majorHAnsi" w:eastAsia="Times New Roman" w:hAnsiTheme="majorHAnsi" w:cstheme="majorHAnsi"/>
                <w:b/>
                <w:bCs/>
                <w:color w:val="FFFFFF" w:themeColor="background1"/>
                <w:sz w:val="20"/>
                <w:szCs w:val="20"/>
              </w:rPr>
              <w:t>Parti</w:t>
            </w:r>
            <w:r w:rsidR="00FA5936" w:rsidRPr="004F0961">
              <w:rPr>
                <w:rFonts w:asciiTheme="majorHAnsi" w:eastAsia="Times New Roman" w:hAnsiTheme="majorHAnsi" w:cstheme="majorHAnsi"/>
                <w:b/>
                <w:bCs/>
                <w:color w:val="FFFFFF" w:themeColor="background1"/>
                <w:sz w:val="20"/>
                <w:szCs w:val="20"/>
              </w:rPr>
              <w:t xml:space="preserve">cipants to </w:t>
            </w:r>
            <w:r w:rsidR="00DE3C5E" w:rsidRPr="004F0961">
              <w:rPr>
                <w:rFonts w:asciiTheme="majorHAnsi" w:eastAsia="Times New Roman" w:hAnsiTheme="majorHAnsi" w:cstheme="majorHAnsi"/>
                <w:b/>
                <w:bCs/>
                <w:color w:val="FFFFFF" w:themeColor="background1"/>
                <w:sz w:val="20"/>
                <w:szCs w:val="20"/>
              </w:rPr>
              <w:t>the</w:t>
            </w:r>
            <w:r w:rsidR="00FA5936" w:rsidRPr="004F0961">
              <w:rPr>
                <w:rFonts w:asciiTheme="majorHAnsi" w:eastAsia="Times New Roman" w:hAnsiTheme="majorHAnsi" w:cstheme="majorHAnsi"/>
                <w:b/>
                <w:bCs/>
                <w:color w:val="FFFFFF" w:themeColor="background1"/>
                <w:sz w:val="20"/>
                <w:szCs w:val="20"/>
              </w:rPr>
              <w:t xml:space="preserve"> supervision process </w:t>
            </w:r>
            <w:bookmarkEnd w:id="9"/>
          </w:p>
        </w:tc>
      </w:tr>
      <w:tr w:rsidR="009D4321" w:rsidRPr="004F0961" w14:paraId="3B52DC8A" w14:textId="77777777" w:rsidTr="00F753F0">
        <w:trPr>
          <w:trHeight w:val="236"/>
        </w:trPr>
        <w:tc>
          <w:tcPr>
            <w:tcW w:w="9203"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tcPr>
          <w:p w14:paraId="75E0A41B" w14:textId="263AEDE0" w:rsidR="009D4321" w:rsidRDefault="009D4321" w:rsidP="003865E4">
            <w:pPr>
              <w:rPr>
                <w:rFonts w:asciiTheme="majorHAnsi" w:eastAsia="Times New Roman" w:hAnsiTheme="majorHAnsi" w:cstheme="majorHAnsi"/>
                <w:b/>
                <w:bCs/>
                <w:sz w:val="20"/>
                <w:szCs w:val="20"/>
              </w:rPr>
            </w:pPr>
          </w:p>
          <w:p w14:paraId="0A82D10F" w14:textId="1389B995" w:rsidR="00D54701" w:rsidRDefault="00D54701" w:rsidP="00D54701">
            <w:pPr>
              <w:rPr>
                <w:noProof w:val="0"/>
                <w:color w:val="000000"/>
              </w:rPr>
            </w:pPr>
            <w:r>
              <w:rPr>
                <w:color w:val="000000"/>
              </w:rPr>
              <w:t>List of Participants, meeting of April 17th:</w:t>
            </w:r>
          </w:p>
          <w:p w14:paraId="579AD55C" w14:textId="77777777" w:rsidR="00D54701" w:rsidRDefault="00D54701" w:rsidP="00D54701">
            <w:pPr>
              <w:pStyle w:val="ListParagraph"/>
              <w:numPr>
                <w:ilvl w:val="0"/>
                <w:numId w:val="47"/>
              </w:numPr>
              <w:contextualSpacing w:val="0"/>
              <w:rPr>
                <w:rFonts w:eastAsia="Times New Roman"/>
                <w:color w:val="000000"/>
              </w:rPr>
            </w:pPr>
            <w:r>
              <w:rPr>
                <w:rFonts w:eastAsia="Times New Roman"/>
                <w:color w:val="000000"/>
              </w:rPr>
              <w:t>Ellsworth Dacon  - Director on SVGCL Board</w:t>
            </w:r>
          </w:p>
          <w:p w14:paraId="69F80B01" w14:textId="77777777" w:rsidR="00D54701" w:rsidRDefault="00D54701" w:rsidP="00D54701">
            <w:pPr>
              <w:pStyle w:val="ListParagraph"/>
              <w:numPr>
                <w:ilvl w:val="0"/>
                <w:numId w:val="47"/>
              </w:numPr>
              <w:contextualSpacing w:val="0"/>
              <w:rPr>
                <w:rFonts w:eastAsia="Times New Roman"/>
                <w:color w:val="000000"/>
              </w:rPr>
            </w:pPr>
            <w:r>
              <w:rPr>
                <w:rFonts w:eastAsia="Times New Roman"/>
                <w:color w:val="000000"/>
              </w:rPr>
              <w:t xml:space="preserve">Þorleifur Finnsson  - Project Manager, </w:t>
            </w:r>
          </w:p>
          <w:p w14:paraId="6BCB045F" w14:textId="77777777" w:rsidR="00D54701" w:rsidRDefault="00D54701" w:rsidP="00D54701">
            <w:pPr>
              <w:pStyle w:val="ListParagraph"/>
              <w:numPr>
                <w:ilvl w:val="0"/>
                <w:numId w:val="47"/>
              </w:numPr>
              <w:contextualSpacing w:val="0"/>
              <w:rPr>
                <w:rFonts w:eastAsia="Times New Roman"/>
                <w:lang w:val="is-IS"/>
              </w:rPr>
            </w:pPr>
            <w:r>
              <w:rPr>
                <w:rFonts w:eastAsia="Times New Roman"/>
                <w:color w:val="000000"/>
              </w:rPr>
              <w:t xml:space="preserve">Loftur Gissurarson - </w:t>
            </w:r>
            <w:r>
              <w:rPr>
                <w:rFonts w:eastAsia="Times New Roman"/>
                <w:lang w:val="is-IS"/>
              </w:rPr>
              <w:t>Head, Quality Health and Safety  (SVGCL)</w:t>
            </w:r>
          </w:p>
          <w:p w14:paraId="667396A3" w14:textId="77777777" w:rsidR="00D54701" w:rsidRDefault="00D54701" w:rsidP="00D54701">
            <w:pPr>
              <w:pStyle w:val="ListParagraph"/>
              <w:numPr>
                <w:ilvl w:val="0"/>
                <w:numId w:val="47"/>
              </w:numPr>
              <w:contextualSpacing w:val="0"/>
              <w:rPr>
                <w:rFonts w:eastAsia="Times New Roman"/>
                <w:lang w:val="is-IS"/>
              </w:rPr>
            </w:pPr>
            <w:r>
              <w:rPr>
                <w:rFonts w:eastAsia="Times New Roman"/>
                <w:lang w:val="is-IS"/>
              </w:rPr>
              <w:t>Reykjavik Geothermal Ltd.</w:t>
            </w:r>
          </w:p>
          <w:p w14:paraId="7B66DB3B" w14:textId="77777777" w:rsidR="00D54701" w:rsidRDefault="00D54701" w:rsidP="00D54701">
            <w:pPr>
              <w:pStyle w:val="ListParagraph"/>
              <w:numPr>
                <w:ilvl w:val="0"/>
                <w:numId w:val="47"/>
              </w:numPr>
              <w:contextualSpacing w:val="0"/>
              <w:rPr>
                <w:rFonts w:eastAsia="Times New Roman"/>
                <w:color w:val="000000"/>
              </w:rPr>
            </w:pPr>
            <w:r>
              <w:rPr>
                <w:rFonts w:eastAsia="Times New Roman"/>
                <w:color w:val="000000"/>
              </w:rPr>
              <w:t>Herman Charles  - Social Manager</w:t>
            </w:r>
            <w:r>
              <w:rPr>
                <w:rFonts w:eastAsia="Times New Roman"/>
                <w:color w:val="000000"/>
              </w:rPr>
              <w:br/>
              <w:t>Elbert Ellis –  Operations Officer, Social Analyst</w:t>
            </w:r>
          </w:p>
          <w:p w14:paraId="33F5557A" w14:textId="1AE33EF9" w:rsidR="00D54701" w:rsidRDefault="00D54701" w:rsidP="00D54701">
            <w:pPr>
              <w:pStyle w:val="ListParagraph"/>
              <w:numPr>
                <w:ilvl w:val="0"/>
                <w:numId w:val="47"/>
              </w:numPr>
              <w:contextualSpacing w:val="0"/>
              <w:rPr>
                <w:rFonts w:eastAsia="Times New Roman"/>
              </w:rPr>
            </w:pPr>
            <w:r>
              <w:rPr>
                <w:rFonts w:eastAsia="Times New Roman"/>
                <w:color w:val="000000"/>
              </w:rPr>
              <w:t>Valerie Isaac – Senior Operations Officer, Environmental Specialist, CDB</w:t>
            </w:r>
            <w:r>
              <w:rPr>
                <w:rFonts w:eastAsia="Times New Roman"/>
                <w:color w:val="000000"/>
              </w:rPr>
              <w:br/>
            </w:r>
            <w:r>
              <w:rPr>
                <w:rFonts w:eastAsia="Times New Roman"/>
              </w:rPr>
              <w:t>Ken Aldonza – Operations Officer, Project Supervision, CDB</w:t>
            </w:r>
          </w:p>
          <w:p w14:paraId="2E7EBA7D" w14:textId="77777777" w:rsidR="002D23C0" w:rsidRDefault="002D23C0" w:rsidP="00D54701">
            <w:pPr>
              <w:rPr>
                <w:rFonts w:asciiTheme="majorHAnsi" w:eastAsia="Times New Roman" w:hAnsiTheme="majorHAnsi" w:cstheme="majorHAnsi"/>
                <w:b/>
                <w:bCs/>
                <w:sz w:val="20"/>
                <w:szCs w:val="20"/>
              </w:rPr>
            </w:pPr>
          </w:p>
          <w:p w14:paraId="7CB63176" w14:textId="77777777" w:rsidR="000402AC" w:rsidRDefault="000402AC" w:rsidP="00D54701">
            <w:pPr>
              <w:rPr>
                <w:rFonts w:asciiTheme="majorHAnsi" w:eastAsia="Times New Roman" w:hAnsiTheme="majorHAnsi" w:cstheme="majorHAnsi"/>
                <w:b/>
                <w:bCs/>
                <w:sz w:val="20"/>
                <w:szCs w:val="20"/>
              </w:rPr>
            </w:pPr>
          </w:p>
          <w:p w14:paraId="7F1AF3B3" w14:textId="77777777" w:rsidR="000402AC" w:rsidRDefault="000402AC" w:rsidP="00D54701">
            <w:pPr>
              <w:rPr>
                <w:rFonts w:asciiTheme="majorHAnsi" w:eastAsia="Times New Roman" w:hAnsiTheme="majorHAnsi" w:cstheme="majorHAnsi"/>
                <w:b/>
                <w:bCs/>
                <w:sz w:val="20"/>
                <w:szCs w:val="20"/>
              </w:rPr>
            </w:pPr>
          </w:p>
          <w:p w14:paraId="5FCE226C" w14:textId="77777777" w:rsidR="000402AC" w:rsidRDefault="000402AC" w:rsidP="00D54701">
            <w:pPr>
              <w:rPr>
                <w:rFonts w:asciiTheme="majorHAnsi" w:eastAsia="Times New Roman" w:hAnsiTheme="majorHAnsi" w:cstheme="majorHAnsi"/>
                <w:b/>
                <w:bCs/>
                <w:sz w:val="20"/>
                <w:szCs w:val="20"/>
              </w:rPr>
            </w:pPr>
          </w:p>
          <w:p w14:paraId="0AF5B54B" w14:textId="77777777" w:rsidR="000402AC" w:rsidRDefault="000402AC" w:rsidP="00D54701">
            <w:pPr>
              <w:rPr>
                <w:rFonts w:asciiTheme="majorHAnsi" w:eastAsia="Times New Roman" w:hAnsiTheme="majorHAnsi" w:cstheme="majorHAnsi"/>
                <w:b/>
                <w:bCs/>
                <w:sz w:val="20"/>
                <w:szCs w:val="20"/>
              </w:rPr>
            </w:pPr>
          </w:p>
          <w:p w14:paraId="0BC7DD3B" w14:textId="77777777" w:rsidR="000402AC" w:rsidRDefault="000402AC" w:rsidP="00D54701">
            <w:pPr>
              <w:rPr>
                <w:rFonts w:asciiTheme="majorHAnsi" w:eastAsia="Times New Roman" w:hAnsiTheme="majorHAnsi" w:cstheme="majorHAnsi"/>
                <w:b/>
                <w:bCs/>
                <w:sz w:val="20"/>
                <w:szCs w:val="20"/>
              </w:rPr>
            </w:pPr>
          </w:p>
          <w:p w14:paraId="572E00E3" w14:textId="77777777" w:rsidR="000402AC" w:rsidRDefault="000402AC" w:rsidP="00D54701">
            <w:pPr>
              <w:rPr>
                <w:rFonts w:asciiTheme="majorHAnsi" w:eastAsia="Times New Roman" w:hAnsiTheme="majorHAnsi" w:cstheme="majorHAnsi"/>
                <w:b/>
                <w:bCs/>
                <w:sz w:val="20"/>
                <w:szCs w:val="20"/>
              </w:rPr>
            </w:pPr>
          </w:p>
          <w:p w14:paraId="72582A12" w14:textId="0D7EDE97" w:rsidR="000402AC" w:rsidRPr="004F0961" w:rsidRDefault="000402AC" w:rsidP="00D54701">
            <w:pPr>
              <w:rPr>
                <w:rFonts w:asciiTheme="majorHAnsi" w:eastAsia="Times New Roman" w:hAnsiTheme="majorHAnsi" w:cstheme="majorHAnsi"/>
                <w:b/>
                <w:bCs/>
                <w:sz w:val="20"/>
                <w:szCs w:val="20"/>
              </w:rPr>
            </w:pPr>
          </w:p>
        </w:tc>
      </w:tr>
      <w:tr w:rsidR="0011203C" w:rsidRPr="004F0961" w14:paraId="2CFBED29" w14:textId="77777777" w:rsidTr="00F753F0">
        <w:trPr>
          <w:trHeight w:val="236"/>
        </w:trPr>
        <w:tc>
          <w:tcPr>
            <w:tcW w:w="9203" w:type="dxa"/>
            <w:tcBorders>
              <w:top w:val="single" w:sz="6" w:space="0" w:color="000000"/>
              <w:left w:val="single" w:sz="6" w:space="0" w:color="000000"/>
              <w:bottom w:val="single" w:sz="6" w:space="0" w:color="000000"/>
              <w:right w:val="single" w:sz="6" w:space="0" w:color="000000"/>
            </w:tcBorders>
            <w:shd w:val="clear" w:color="auto" w:fill="95B3D7" w:themeFill="accent1" w:themeFillTint="99"/>
            <w:tcMar>
              <w:top w:w="15" w:type="dxa"/>
              <w:left w:w="105" w:type="dxa"/>
              <w:bottom w:w="15" w:type="dxa"/>
              <w:right w:w="105" w:type="dxa"/>
            </w:tcMar>
          </w:tcPr>
          <w:p w14:paraId="60E78591" w14:textId="5E604831" w:rsidR="0011203C" w:rsidRPr="004F0961" w:rsidRDefault="0011203C" w:rsidP="003865E4">
            <w:pPr>
              <w:rPr>
                <w:rFonts w:asciiTheme="majorHAnsi" w:eastAsia="Times New Roman" w:hAnsiTheme="majorHAnsi" w:cstheme="majorHAnsi"/>
                <w:b/>
                <w:bCs/>
                <w:color w:val="FFFFFF" w:themeColor="background1"/>
                <w:sz w:val="20"/>
                <w:szCs w:val="20"/>
              </w:rPr>
            </w:pPr>
            <w:r w:rsidRPr="004F0961">
              <w:rPr>
                <w:rFonts w:asciiTheme="majorHAnsi" w:eastAsia="Times New Roman" w:hAnsiTheme="majorHAnsi" w:cstheme="majorHAnsi"/>
                <w:b/>
                <w:bCs/>
                <w:color w:val="FFFFFF" w:themeColor="background1"/>
                <w:sz w:val="20"/>
                <w:szCs w:val="20"/>
              </w:rPr>
              <w:lastRenderedPageBreak/>
              <w:t xml:space="preserve">Annex </w:t>
            </w:r>
            <w:r w:rsidR="007D16F3" w:rsidRPr="004F0961">
              <w:rPr>
                <w:rFonts w:asciiTheme="majorHAnsi" w:eastAsia="Times New Roman" w:hAnsiTheme="majorHAnsi" w:cstheme="majorHAnsi"/>
                <w:b/>
                <w:bCs/>
                <w:color w:val="FFFFFF" w:themeColor="background1"/>
                <w:sz w:val="20"/>
                <w:szCs w:val="20"/>
              </w:rPr>
              <w:t>5</w:t>
            </w:r>
            <w:r w:rsidRPr="004F0961">
              <w:rPr>
                <w:rFonts w:asciiTheme="majorHAnsi" w:eastAsia="Times New Roman" w:hAnsiTheme="majorHAnsi" w:cstheme="majorHAnsi"/>
                <w:b/>
                <w:bCs/>
                <w:color w:val="FFFFFF" w:themeColor="background1"/>
                <w:sz w:val="20"/>
                <w:szCs w:val="20"/>
              </w:rPr>
              <w:t xml:space="preserve">: </w:t>
            </w:r>
            <w:r w:rsidR="000402AC">
              <w:rPr>
                <w:rFonts w:asciiTheme="majorHAnsi" w:eastAsia="Times New Roman" w:hAnsiTheme="majorHAnsi" w:cstheme="majorHAnsi"/>
                <w:b/>
                <w:bCs/>
                <w:color w:val="FFFFFF" w:themeColor="background1"/>
                <w:sz w:val="20"/>
                <w:szCs w:val="20"/>
              </w:rPr>
              <w:t>ESRR</w:t>
            </w:r>
          </w:p>
        </w:tc>
      </w:tr>
      <w:tr w:rsidR="0011203C" w:rsidRPr="004F0961" w14:paraId="2E9BCBDD" w14:textId="77777777" w:rsidTr="00F753F0">
        <w:trPr>
          <w:trHeight w:val="236"/>
        </w:trPr>
        <w:tc>
          <w:tcPr>
            <w:tcW w:w="9203" w:type="dxa"/>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tcPr>
          <w:tbl>
            <w:tblPr>
              <w:tblStyle w:val="TableGrid"/>
              <w:tblW w:w="0" w:type="auto"/>
              <w:tblLayout w:type="fixed"/>
              <w:tblLook w:val="04A0" w:firstRow="1" w:lastRow="0" w:firstColumn="1" w:lastColumn="0" w:noHBand="0" w:noVBand="1"/>
            </w:tblPr>
            <w:tblGrid>
              <w:gridCol w:w="1063"/>
              <w:gridCol w:w="1620"/>
              <w:gridCol w:w="6300"/>
            </w:tblGrid>
            <w:tr w:rsidR="000402AC" w14:paraId="4DA64A62" w14:textId="77777777" w:rsidTr="00DA3694">
              <w:tc>
                <w:tcPr>
                  <w:tcW w:w="1063" w:type="dxa"/>
                </w:tcPr>
                <w:p w14:paraId="1C997DC6" w14:textId="2E2D7A6E"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 xml:space="preserve">Factor </w:t>
                  </w:r>
                </w:p>
              </w:tc>
              <w:tc>
                <w:tcPr>
                  <w:tcW w:w="1620" w:type="dxa"/>
                </w:tcPr>
                <w:p w14:paraId="477ADE6F" w14:textId="24A28576"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 xml:space="preserve">Rating </w:t>
                  </w:r>
                </w:p>
              </w:tc>
              <w:tc>
                <w:tcPr>
                  <w:tcW w:w="6300" w:type="dxa"/>
                </w:tcPr>
                <w:p w14:paraId="4FB4296E" w14:textId="09436616"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Rationale</w:t>
                  </w:r>
                </w:p>
              </w:tc>
            </w:tr>
            <w:tr w:rsidR="000402AC" w14:paraId="4184A7C2" w14:textId="77777777" w:rsidTr="00DA3694">
              <w:tc>
                <w:tcPr>
                  <w:tcW w:w="1063" w:type="dxa"/>
                </w:tcPr>
                <w:p w14:paraId="7F80813E" w14:textId="251964CF"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Cause</w:t>
                  </w:r>
                </w:p>
              </w:tc>
              <w:tc>
                <w:tcPr>
                  <w:tcW w:w="1620" w:type="dxa"/>
                </w:tcPr>
                <w:p w14:paraId="7FEB1A16" w14:textId="3D4B8BE0"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High</w:t>
                  </w:r>
                </w:p>
              </w:tc>
              <w:tc>
                <w:tcPr>
                  <w:tcW w:w="6300" w:type="dxa"/>
                </w:tcPr>
                <w:p w14:paraId="7954B3DA" w14:textId="4DDCCE97"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 xml:space="preserve">Associated with the inherent risks of geothermal drilling </w:t>
                  </w:r>
                  <w:r w:rsidR="001E0805">
                    <w:rPr>
                      <w:rFonts w:asciiTheme="majorHAnsi" w:eastAsia="Times New Roman" w:hAnsiTheme="majorHAnsi" w:cstheme="majorHAnsi"/>
                      <w:sz w:val="20"/>
                      <w:szCs w:val="20"/>
                    </w:rPr>
                    <w:t>such as water table contamination, freeing of hazardous gases and others.  It is necessary however to keep in perspective the relatively small scale of the projects considered for financing so far, and the fact that there are impact management measures embedded in the design of the projects.</w:t>
                  </w:r>
                </w:p>
              </w:tc>
            </w:tr>
            <w:tr w:rsidR="000402AC" w14:paraId="6745D7C6" w14:textId="77777777" w:rsidTr="00DA3694">
              <w:tc>
                <w:tcPr>
                  <w:tcW w:w="1063" w:type="dxa"/>
                </w:tcPr>
                <w:p w14:paraId="1924972B" w14:textId="79DC33E1"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Contribution</w:t>
                  </w:r>
                </w:p>
              </w:tc>
              <w:tc>
                <w:tcPr>
                  <w:tcW w:w="1620" w:type="dxa"/>
                </w:tcPr>
                <w:p w14:paraId="2BC8105C" w14:textId="2F313C25" w:rsidR="000402AC" w:rsidRDefault="001E0805"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Moderate</w:t>
                  </w:r>
                </w:p>
              </w:tc>
              <w:tc>
                <w:tcPr>
                  <w:tcW w:w="6300" w:type="dxa"/>
                </w:tcPr>
                <w:p w14:paraId="352854B1" w14:textId="3FDCAADF" w:rsidR="000402AC" w:rsidRDefault="001E0805"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Due to the scale of the projects considered for financing, the risk of contribution to existing impacts or issues is considered to be moderate.</w:t>
                  </w:r>
                  <w:r w:rsidR="000475FC">
                    <w:rPr>
                      <w:rFonts w:asciiTheme="majorHAnsi" w:eastAsia="Times New Roman" w:hAnsiTheme="majorHAnsi" w:cstheme="majorHAnsi"/>
                      <w:sz w:val="20"/>
                      <w:szCs w:val="20"/>
                    </w:rPr>
                    <w:t xml:space="preserve"> Most of the impacts are expected to be localized, but contribution could occur in some cases related to certain receptors, such as protected species. Please see context.</w:t>
                  </w:r>
                </w:p>
              </w:tc>
            </w:tr>
            <w:tr w:rsidR="000402AC" w14:paraId="40033C34" w14:textId="77777777" w:rsidTr="00DA3694">
              <w:tc>
                <w:tcPr>
                  <w:tcW w:w="1063" w:type="dxa"/>
                </w:tcPr>
                <w:p w14:paraId="7D73C016" w14:textId="787731DB"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Context</w:t>
                  </w:r>
                </w:p>
              </w:tc>
              <w:tc>
                <w:tcPr>
                  <w:tcW w:w="1620" w:type="dxa"/>
                </w:tcPr>
                <w:p w14:paraId="5C9D012E" w14:textId="572F0F64"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Substantial</w:t>
                  </w:r>
                </w:p>
              </w:tc>
              <w:tc>
                <w:tcPr>
                  <w:tcW w:w="6300" w:type="dxa"/>
                </w:tcPr>
                <w:p w14:paraId="0E431EDA" w14:textId="3032E76B"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Most of the projects are and will be developed in small islands which faces challenges relating to access to fresh water, weather, and vulnerable ecological context.</w:t>
                  </w:r>
                  <w:r w:rsidR="000475FC">
                    <w:rPr>
                      <w:rFonts w:asciiTheme="majorHAnsi" w:eastAsia="Times New Roman" w:hAnsiTheme="majorHAnsi" w:cstheme="majorHAnsi"/>
                      <w:sz w:val="20"/>
                      <w:szCs w:val="20"/>
                    </w:rPr>
                    <w:t xml:space="preserve"> In some cases protected and endemic species, common in the caribbean islands, could be more susceptible to cumulative impacts; nevertheless, due to the relatively small scale of geothermal project footprints, mitigation measures are usually expected to be effective.</w:t>
                  </w:r>
                  <w:r>
                    <w:rPr>
                      <w:rFonts w:asciiTheme="majorHAnsi" w:eastAsia="Times New Roman" w:hAnsiTheme="majorHAnsi" w:cstheme="majorHAnsi"/>
                      <w:sz w:val="20"/>
                      <w:szCs w:val="20"/>
                    </w:rPr>
                    <w:t xml:space="preserve"> Local capacity is also often limited, as well as the regulatory frameworks,  further increasing the contextual risk.</w:t>
                  </w:r>
                  <w:r w:rsidR="000475FC">
                    <w:rPr>
                      <w:rFonts w:asciiTheme="majorHAnsi" w:eastAsia="Times New Roman" w:hAnsiTheme="majorHAnsi" w:cstheme="majorHAnsi"/>
                      <w:sz w:val="20"/>
                      <w:szCs w:val="20"/>
                    </w:rPr>
                    <w:t xml:space="preserve"> The risk of Covid-19 has already caused delays in consultation processes and project implementation, and remains a risk for workers’health and safety.</w:t>
                  </w:r>
                </w:p>
              </w:tc>
            </w:tr>
            <w:tr w:rsidR="000402AC" w14:paraId="5221827F" w14:textId="77777777" w:rsidTr="00DA3694">
              <w:tc>
                <w:tcPr>
                  <w:tcW w:w="1063" w:type="dxa"/>
                </w:tcPr>
                <w:p w14:paraId="57297AC5" w14:textId="512C7035"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Performance</w:t>
                  </w:r>
                </w:p>
              </w:tc>
              <w:tc>
                <w:tcPr>
                  <w:tcW w:w="1620" w:type="dxa"/>
                </w:tcPr>
                <w:p w14:paraId="6D57B646" w14:textId="626101F3"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Substantial</w:t>
                  </w:r>
                </w:p>
              </w:tc>
              <w:tc>
                <w:tcPr>
                  <w:tcW w:w="6300" w:type="dxa"/>
                </w:tcPr>
                <w:p w14:paraId="58F88C0C" w14:textId="01860A70"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Lack of experience in implementing geothermal projects, associated with lack of overall E&amp;S management ecperience in some cases, combine to represent a susbtantial risk.</w:t>
                  </w:r>
                  <w:r w:rsidR="001E0805">
                    <w:rPr>
                      <w:rFonts w:asciiTheme="majorHAnsi" w:eastAsia="Times New Roman" w:hAnsiTheme="majorHAnsi" w:cstheme="majorHAnsi"/>
                      <w:sz w:val="20"/>
                      <w:szCs w:val="20"/>
                    </w:rPr>
                    <w:t xml:space="preserve"> This risk however is not high, due to the fact that the projects considered for finance have all included an agreement between the government with a company experienced in this type of project.</w:t>
                  </w:r>
                </w:p>
              </w:tc>
            </w:tr>
            <w:tr w:rsidR="000402AC" w14:paraId="6B757CCF" w14:textId="77777777" w:rsidTr="00DA3694">
              <w:tc>
                <w:tcPr>
                  <w:tcW w:w="1063" w:type="dxa"/>
                </w:tcPr>
                <w:p w14:paraId="6A982FAE" w14:textId="4F860261" w:rsidR="000402AC" w:rsidRDefault="000402AC"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Overall</w:t>
                  </w:r>
                </w:p>
              </w:tc>
              <w:tc>
                <w:tcPr>
                  <w:tcW w:w="1620" w:type="dxa"/>
                </w:tcPr>
                <w:p w14:paraId="6B6A157A" w14:textId="46FBBECE" w:rsidR="000402AC" w:rsidRDefault="001E0805" w:rsidP="003865E4">
                  <w:pPr>
                    <w:rPr>
                      <w:rFonts w:asciiTheme="majorHAnsi" w:eastAsia="Times New Roman" w:hAnsiTheme="majorHAnsi" w:cstheme="majorHAnsi"/>
                      <w:sz w:val="20"/>
                      <w:szCs w:val="20"/>
                    </w:rPr>
                  </w:pPr>
                  <w:r>
                    <w:rPr>
                      <w:rFonts w:asciiTheme="majorHAnsi" w:eastAsia="Times New Roman" w:hAnsiTheme="majorHAnsi" w:cstheme="majorHAnsi"/>
                      <w:sz w:val="20"/>
                      <w:szCs w:val="20"/>
                    </w:rPr>
                    <w:t>Substantial</w:t>
                  </w:r>
                </w:p>
              </w:tc>
              <w:tc>
                <w:tcPr>
                  <w:tcW w:w="6300" w:type="dxa"/>
                </w:tcPr>
                <w:p w14:paraId="5FC6DF68" w14:textId="3D2FE321" w:rsidR="000402AC" w:rsidRDefault="00DA3694" w:rsidP="003865E4">
                  <w:pPr>
                    <w:rPr>
                      <w:rFonts w:asciiTheme="majorHAnsi" w:eastAsia="Times New Roman" w:hAnsiTheme="majorHAnsi" w:cstheme="majorHAnsi"/>
                      <w:sz w:val="20"/>
                      <w:szCs w:val="20"/>
                    </w:rPr>
                  </w:pPr>
                  <w:r w:rsidRPr="008D7CF7">
                    <w:rPr>
                      <w:rFonts w:asciiTheme="majorHAnsi" w:eastAsia="Times New Roman" w:hAnsiTheme="majorHAnsi" w:cstheme="majorHAnsi"/>
                      <w:sz w:val="20"/>
                      <w:szCs w:val="20"/>
                    </w:rPr>
                    <w:t xml:space="preserve">The </w:t>
                  </w:r>
                  <w:r>
                    <w:rPr>
                      <w:rFonts w:asciiTheme="majorHAnsi" w:eastAsia="Times New Roman" w:hAnsiTheme="majorHAnsi" w:cstheme="majorHAnsi"/>
                      <w:sz w:val="20"/>
                      <w:szCs w:val="20"/>
                    </w:rPr>
                    <w:t xml:space="preserve">overall </w:t>
                  </w:r>
                  <w:r w:rsidRPr="008D7CF7">
                    <w:rPr>
                      <w:rFonts w:asciiTheme="majorHAnsi" w:eastAsia="Times New Roman" w:hAnsiTheme="majorHAnsi" w:cstheme="majorHAnsi"/>
                      <w:sz w:val="20"/>
                      <w:szCs w:val="20"/>
                    </w:rPr>
                    <w:t>operation</w:t>
                  </w:r>
                  <w:r>
                    <w:rPr>
                      <w:rFonts w:asciiTheme="majorHAnsi" w:eastAsia="Times New Roman" w:hAnsiTheme="majorHAnsi" w:cstheme="majorHAnsi"/>
                      <w:sz w:val="20"/>
                      <w:szCs w:val="20"/>
                    </w:rPr>
                    <w:t xml:space="preserve"> is rated for risk, and not the</w:t>
                  </w:r>
                  <w:r w:rsidRPr="008D7CF7">
                    <w:rPr>
                      <w:rFonts w:asciiTheme="majorHAnsi" w:eastAsia="Times New Roman" w:hAnsiTheme="majorHAnsi" w:cstheme="majorHAnsi"/>
                      <w:sz w:val="20"/>
                      <w:szCs w:val="20"/>
                    </w:rPr>
                    <w:t xml:space="preserve"> specific subprojects. The EA is the CDB, </w:t>
                  </w:r>
                  <w:r>
                    <w:rPr>
                      <w:rFonts w:asciiTheme="majorHAnsi" w:eastAsia="Times New Roman" w:hAnsiTheme="majorHAnsi" w:cstheme="majorHAnsi"/>
                      <w:sz w:val="20"/>
                      <w:szCs w:val="20"/>
                    </w:rPr>
                    <w:t xml:space="preserve">and </w:t>
                  </w:r>
                  <w:r w:rsidRPr="008D7CF7">
                    <w:rPr>
                      <w:rFonts w:asciiTheme="majorHAnsi" w:eastAsia="Times New Roman" w:hAnsiTheme="majorHAnsi" w:cstheme="majorHAnsi"/>
                      <w:sz w:val="20"/>
                      <w:szCs w:val="20"/>
                    </w:rPr>
                    <w:t>IDB resources for E&amp;S supervision are allocated for the whole operation and not for subprojects, and many of the contextual risks are the same or similar for all or most subprojects. The overall risk remains substantial due to the relative inexperience of CDB and local executing agencies to manage ESHS issues of geothermal subprojects. While some subprojects may be located in or near protected areas, the ESMS for the Program is well crafted to manage these risks.</w:t>
                  </w:r>
                  <w:r>
                    <w:rPr>
                      <w:rFonts w:asciiTheme="majorHAnsi" w:eastAsia="Times New Roman" w:hAnsiTheme="majorHAnsi" w:cstheme="majorHAnsi"/>
                      <w:sz w:val="20"/>
                      <w:szCs w:val="20"/>
                    </w:rPr>
                    <w:t xml:space="preserve"> There are</w:t>
                  </w:r>
                  <w:r w:rsidR="001E0805">
                    <w:rPr>
                      <w:rFonts w:asciiTheme="majorHAnsi" w:eastAsia="Times New Roman" w:hAnsiTheme="majorHAnsi" w:cstheme="majorHAnsi"/>
                      <w:sz w:val="20"/>
                      <w:szCs w:val="20"/>
                    </w:rPr>
                    <w:t xml:space="preserve"> potential risks represented by the combination of geothermal drilling in vulnerable ecological and social contexts in a scenario of lack of experience in ma</w:t>
                  </w:r>
                  <w:r>
                    <w:rPr>
                      <w:rFonts w:asciiTheme="majorHAnsi" w:eastAsia="Times New Roman" w:hAnsiTheme="majorHAnsi" w:cstheme="majorHAnsi"/>
                      <w:sz w:val="20"/>
                      <w:szCs w:val="20"/>
                    </w:rPr>
                    <w:t>na</w:t>
                  </w:r>
                  <w:r w:rsidR="001E0805">
                    <w:rPr>
                      <w:rFonts w:asciiTheme="majorHAnsi" w:eastAsia="Times New Roman" w:hAnsiTheme="majorHAnsi" w:cstheme="majorHAnsi"/>
                      <w:sz w:val="20"/>
                      <w:szCs w:val="20"/>
                    </w:rPr>
                    <w:t xml:space="preserve">ging its impacts, but partially </w:t>
                  </w:r>
                  <w:r>
                    <w:rPr>
                      <w:rFonts w:asciiTheme="majorHAnsi" w:eastAsia="Times New Roman" w:hAnsiTheme="majorHAnsi" w:cstheme="majorHAnsi"/>
                      <w:sz w:val="20"/>
                      <w:szCs w:val="20"/>
                    </w:rPr>
                    <w:t>mitigated</w:t>
                  </w:r>
                  <w:r w:rsidR="001E0805">
                    <w:rPr>
                      <w:rFonts w:asciiTheme="majorHAnsi" w:eastAsia="Times New Roman" w:hAnsiTheme="majorHAnsi" w:cstheme="majorHAnsi"/>
                      <w:sz w:val="20"/>
                      <w:szCs w:val="20"/>
                    </w:rPr>
                    <w:t xml:space="preserve"> by the small footprint and scale of projects considred for financing so far, combined with the participation of firms experienced in geothermal projects as co-proponents.</w:t>
                  </w:r>
                  <w:r w:rsidR="008D7CF7">
                    <w:t xml:space="preserve"> </w:t>
                  </w:r>
                </w:p>
              </w:tc>
            </w:tr>
          </w:tbl>
          <w:p w14:paraId="4DF428A1" w14:textId="77777777" w:rsidR="00FB7667" w:rsidRDefault="00FB7667" w:rsidP="003865E4">
            <w:pPr>
              <w:rPr>
                <w:rFonts w:asciiTheme="majorHAnsi" w:eastAsia="Times New Roman" w:hAnsiTheme="majorHAnsi" w:cstheme="majorHAnsi"/>
                <w:sz w:val="20"/>
                <w:szCs w:val="20"/>
              </w:rPr>
            </w:pPr>
          </w:p>
          <w:p w14:paraId="41F10CEC" w14:textId="77777777" w:rsidR="000402AC" w:rsidRDefault="000402AC" w:rsidP="003865E4">
            <w:pPr>
              <w:rPr>
                <w:rFonts w:asciiTheme="majorHAnsi" w:eastAsia="Times New Roman" w:hAnsiTheme="majorHAnsi" w:cstheme="majorHAnsi"/>
                <w:sz w:val="20"/>
                <w:szCs w:val="20"/>
              </w:rPr>
            </w:pPr>
          </w:p>
          <w:p w14:paraId="53626669" w14:textId="77777777" w:rsidR="000402AC" w:rsidRDefault="000402AC" w:rsidP="003865E4">
            <w:pPr>
              <w:rPr>
                <w:rFonts w:asciiTheme="majorHAnsi" w:eastAsia="Times New Roman" w:hAnsiTheme="majorHAnsi" w:cstheme="majorHAnsi"/>
                <w:sz w:val="20"/>
                <w:szCs w:val="20"/>
              </w:rPr>
            </w:pPr>
          </w:p>
          <w:p w14:paraId="6BB59B89" w14:textId="77777777" w:rsidR="000402AC" w:rsidRDefault="000402AC" w:rsidP="003865E4">
            <w:pPr>
              <w:rPr>
                <w:rFonts w:asciiTheme="majorHAnsi" w:eastAsia="Times New Roman" w:hAnsiTheme="majorHAnsi" w:cstheme="majorHAnsi"/>
                <w:sz w:val="20"/>
                <w:szCs w:val="20"/>
              </w:rPr>
            </w:pPr>
          </w:p>
          <w:p w14:paraId="3570C538" w14:textId="77777777" w:rsidR="000402AC" w:rsidRDefault="000402AC" w:rsidP="003865E4">
            <w:pPr>
              <w:rPr>
                <w:rFonts w:asciiTheme="majorHAnsi" w:eastAsia="Times New Roman" w:hAnsiTheme="majorHAnsi" w:cstheme="majorHAnsi"/>
                <w:sz w:val="20"/>
                <w:szCs w:val="20"/>
              </w:rPr>
            </w:pPr>
          </w:p>
          <w:p w14:paraId="499F3F65" w14:textId="77777777" w:rsidR="000402AC" w:rsidRDefault="000402AC" w:rsidP="003865E4">
            <w:pPr>
              <w:rPr>
                <w:rFonts w:asciiTheme="majorHAnsi" w:eastAsia="Times New Roman" w:hAnsiTheme="majorHAnsi" w:cstheme="majorHAnsi"/>
                <w:sz w:val="20"/>
                <w:szCs w:val="20"/>
              </w:rPr>
            </w:pPr>
          </w:p>
          <w:p w14:paraId="7C2B16FB" w14:textId="77777777" w:rsidR="000402AC" w:rsidRDefault="000402AC" w:rsidP="003865E4">
            <w:pPr>
              <w:rPr>
                <w:rFonts w:asciiTheme="majorHAnsi" w:eastAsia="Times New Roman" w:hAnsiTheme="majorHAnsi" w:cstheme="majorHAnsi"/>
                <w:sz w:val="20"/>
                <w:szCs w:val="20"/>
              </w:rPr>
            </w:pPr>
          </w:p>
          <w:p w14:paraId="6198665C" w14:textId="7D4FDF01" w:rsidR="000402AC" w:rsidRPr="004F0961" w:rsidRDefault="000402AC" w:rsidP="003865E4">
            <w:pPr>
              <w:rPr>
                <w:rFonts w:asciiTheme="majorHAnsi" w:eastAsia="Times New Roman" w:hAnsiTheme="majorHAnsi" w:cstheme="majorHAnsi"/>
                <w:sz w:val="20"/>
                <w:szCs w:val="20"/>
              </w:rPr>
            </w:pPr>
          </w:p>
        </w:tc>
      </w:tr>
    </w:tbl>
    <w:p w14:paraId="052B19CC" w14:textId="77777777" w:rsidR="0048427C" w:rsidRPr="004F0961" w:rsidRDefault="0048427C" w:rsidP="00031CE1">
      <w:pPr>
        <w:rPr>
          <w:rFonts w:asciiTheme="majorHAnsi" w:hAnsiTheme="majorHAnsi" w:cstheme="majorHAnsi"/>
          <w:noProof w:val="0"/>
          <w:sz w:val="20"/>
          <w:szCs w:val="20"/>
        </w:rPr>
      </w:pPr>
    </w:p>
    <w:p w14:paraId="43702888" w14:textId="77777777" w:rsidR="0048427C" w:rsidRPr="004F0961" w:rsidRDefault="0048427C" w:rsidP="00380B9E">
      <w:pPr>
        <w:rPr>
          <w:rFonts w:asciiTheme="majorHAnsi" w:hAnsiTheme="majorHAnsi" w:cstheme="majorHAnsi"/>
          <w:noProof w:val="0"/>
          <w:sz w:val="20"/>
          <w:szCs w:val="20"/>
        </w:rPr>
      </w:pPr>
    </w:p>
    <w:sectPr w:rsidR="0048427C" w:rsidRPr="004F0961" w:rsidSect="000A3D9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180DA" w14:textId="77777777" w:rsidR="00B45719" w:rsidRDefault="00B45719" w:rsidP="00953C33">
      <w:r>
        <w:separator/>
      </w:r>
    </w:p>
  </w:endnote>
  <w:endnote w:type="continuationSeparator" w:id="0">
    <w:p w14:paraId="293611BA" w14:textId="77777777" w:rsidR="00B45719" w:rsidRDefault="00B45719" w:rsidP="00953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Times">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82361" w14:textId="77777777" w:rsidR="00C3563D" w:rsidRDefault="00C3563D">
    <w:pPr>
      <w:pStyle w:val="Footer"/>
      <w:pBdr>
        <w:bottom w:val="single" w:sz="6" w:space="1" w:color="auto"/>
      </w:pBdr>
    </w:pPr>
  </w:p>
  <w:p w14:paraId="08321CA1" w14:textId="1DC1AA8D" w:rsidR="00C3563D" w:rsidRPr="00CA47D3" w:rsidRDefault="00C3563D" w:rsidP="00B757F7">
    <w:pPr>
      <w:pStyle w:val="Footer"/>
      <w:jc w:val="center"/>
      <w:rPr>
        <w:rFonts w:ascii="Arial" w:hAnsi="Arial" w:cs="Arial"/>
        <w:sz w:val="20"/>
        <w:szCs w:val="20"/>
      </w:rPr>
    </w:pPr>
    <w:r w:rsidRPr="00CA47D3">
      <w:rPr>
        <w:rFonts w:ascii="Arial" w:hAnsi="Arial" w:cs="Arial"/>
        <w:sz w:val="20"/>
        <w:szCs w:val="20"/>
      </w:rPr>
      <w:t xml:space="preserve">IDB, ESG, </w:t>
    </w:r>
    <w:r>
      <w:rPr>
        <w:rFonts w:ascii="Arial" w:hAnsi="Arial" w:cs="Arial"/>
        <w:sz w:val="20"/>
        <w:szCs w:val="20"/>
      </w:rPr>
      <w:t>Supervision Report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FA654" w14:textId="77777777" w:rsidR="00B45719" w:rsidRDefault="00B45719" w:rsidP="00953C33">
      <w:r>
        <w:separator/>
      </w:r>
    </w:p>
  </w:footnote>
  <w:footnote w:type="continuationSeparator" w:id="0">
    <w:p w14:paraId="46DD173D" w14:textId="77777777" w:rsidR="00B45719" w:rsidRDefault="00B45719" w:rsidP="00953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8939B" w14:textId="77777777" w:rsidR="00C3563D" w:rsidRDefault="00C3563D" w:rsidP="003820E4">
    <w:pPr>
      <w:pStyle w:val="Header"/>
      <w:pBdr>
        <w:bottom w:val="single" w:sz="6" w:space="1" w:color="auto"/>
      </w:pBdr>
      <w:ind w:hanging="450"/>
      <w:rPr>
        <w:sz w:val="20"/>
        <w:szCs w:val="20"/>
      </w:rPr>
    </w:pPr>
    <w:r w:rsidRPr="002163A5">
      <w:rPr>
        <w:sz w:val="20"/>
        <w:szCs w:val="20"/>
      </w:rPr>
      <w:drawing>
        <wp:anchor distT="0" distB="0" distL="114300" distR="114300" simplePos="0" relativeHeight="251657216" behindDoc="0" locked="0" layoutInCell="1" allowOverlap="1" wp14:anchorId="022604E4" wp14:editId="0AE0A72F">
          <wp:simplePos x="0" y="0"/>
          <wp:positionH relativeFrom="column">
            <wp:posOffset>5097780</wp:posOffset>
          </wp:positionH>
          <wp:positionV relativeFrom="paragraph">
            <wp:posOffset>-171450</wp:posOffset>
          </wp:positionV>
          <wp:extent cx="889000" cy="501650"/>
          <wp:effectExtent l="0" t="0" r="635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501650"/>
                  </a:xfrm>
                  <a:prstGeom prst="rect">
                    <a:avLst/>
                  </a:prstGeom>
                  <a:noFill/>
                  <a:ln>
                    <a:noFill/>
                  </a:ln>
                </pic:spPr>
              </pic:pic>
            </a:graphicData>
          </a:graphic>
        </wp:anchor>
      </w:drawing>
    </w:r>
  </w:p>
  <w:p w14:paraId="7B6398D1" w14:textId="08E55A8C" w:rsidR="00C3563D" w:rsidRDefault="00C3563D" w:rsidP="003820E4">
    <w:pPr>
      <w:pStyle w:val="Header"/>
      <w:pBdr>
        <w:bottom w:val="single" w:sz="6" w:space="1" w:color="auto"/>
      </w:pBdr>
      <w:ind w:hanging="450"/>
      <w:rPr>
        <w:sz w:val="20"/>
        <w:szCs w:val="20"/>
      </w:rPr>
    </w:pPr>
    <w:r>
      <w:rPr>
        <w:sz w:val="20"/>
        <w:szCs w:val="20"/>
      </w:rPr>
      <w:t>RG-L1071/</w:t>
    </w:r>
    <w:r w:rsidRPr="00FB7667">
      <w:rPr>
        <w:sz w:val="20"/>
        <w:szCs w:val="20"/>
      </w:rPr>
      <w:t>RG-L1112</w:t>
    </w:r>
    <w:r>
      <w:rPr>
        <w:sz w:val="20"/>
        <w:szCs w:val="20"/>
      </w:rPr>
      <w:t>/</w:t>
    </w:r>
    <w:r w:rsidRPr="00FB7667">
      <w:rPr>
        <w:sz w:val="20"/>
        <w:szCs w:val="20"/>
      </w:rPr>
      <w:t>RG-G1004</w:t>
    </w:r>
    <w:r>
      <w:rPr>
        <w:sz w:val="20"/>
        <w:szCs w:val="20"/>
      </w:rPr>
      <w:t xml:space="preserve"> Supervision Report October 2020</w:t>
    </w:r>
  </w:p>
  <w:p w14:paraId="36EA7F44" w14:textId="77777777" w:rsidR="00C3563D" w:rsidRPr="002163A5" w:rsidRDefault="00C3563D" w:rsidP="00CA47D3">
    <w:pPr>
      <w:pStyle w:val="Head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1FEAD2F6"/>
    <w:lvl w:ilvl="0">
      <w:start w:val="1"/>
      <w:numFmt w:val="decimal"/>
      <w:pStyle w:val="Heading1"/>
      <w:lvlText w:val="%1"/>
      <w:lvlJc w:val="left"/>
      <w:pPr>
        <w:tabs>
          <w:tab w:val="num" w:pos="567"/>
        </w:tabs>
        <w:ind w:left="567" w:hanging="567"/>
      </w:pPr>
    </w:lvl>
    <w:lvl w:ilvl="1">
      <w:start w:val="1"/>
      <w:numFmt w:val="decimal"/>
      <w:pStyle w:val="Heading2"/>
      <w:lvlText w:val="%1.%2"/>
      <w:lvlJc w:val="left"/>
      <w:pPr>
        <w:tabs>
          <w:tab w:val="num" w:pos="0"/>
        </w:tabs>
        <w:ind w:left="0" w:firstLine="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0"/>
        </w:tabs>
        <w:ind w:left="0" w:firstLine="0"/>
      </w:pPr>
    </w:lvl>
    <w:lvl w:ilvl="3">
      <w:start w:val="1"/>
      <w:numFmt w:val="decimal"/>
      <w:pStyle w:val="Heading4"/>
      <w:lvlText w:val="%1.%2.%3.%4"/>
      <w:lvlJc w:val="left"/>
      <w:pPr>
        <w:tabs>
          <w:tab w:val="num" w:pos="4395"/>
        </w:tabs>
        <w:ind w:left="4395" w:firstLine="0"/>
      </w:pPr>
      <w:rPr>
        <w:lang w:val="en-GB"/>
      </w:rPr>
    </w:lvl>
    <w:lvl w:ilvl="4">
      <w:start w:val="1"/>
      <w:numFmt w:val="decimal"/>
      <w:pStyle w:val="Heading5"/>
      <w:lvlText w:val="%1.%2.%3.%4.%5"/>
      <w:lvlJc w:val="left"/>
      <w:pPr>
        <w:tabs>
          <w:tab w:val="num" w:pos="0"/>
        </w:tabs>
        <w:ind w:left="0" w:firstLine="0"/>
      </w:pPr>
      <w:rPr>
        <w:i w:val="0"/>
        <w:u w:val="none"/>
      </w:r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 w15:restartNumberingAfterBreak="0">
    <w:nsid w:val="0D496095"/>
    <w:multiLevelType w:val="hybridMultilevel"/>
    <w:tmpl w:val="5DCE3B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AB7FC9"/>
    <w:multiLevelType w:val="multilevel"/>
    <w:tmpl w:val="0B32BA36"/>
    <w:lvl w:ilvl="0">
      <w:start w:val="1"/>
      <w:numFmt w:val="upperRoman"/>
      <w:lvlText w:val="%1."/>
      <w:lvlJc w:val="center"/>
      <w:pPr>
        <w:tabs>
          <w:tab w:val="num" w:pos="648"/>
        </w:tabs>
        <w:ind w:firstLine="288"/>
      </w:pPr>
      <w:rPr>
        <w:rFonts w:cs="Times New Roman"/>
        <w:b/>
        <w:i w:val="0"/>
      </w:rPr>
    </w:lvl>
    <w:lvl w:ilvl="1">
      <w:start w:val="1"/>
      <w:numFmt w:val="decimal"/>
      <w:isLgl/>
      <w:lvlText w:val="%1.%2"/>
      <w:lvlJc w:val="left"/>
      <w:pPr>
        <w:tabs>
          <w:tab w:val="num" w:pos="720"/>
        </w:tabs>
        <w:ind w:left="720" w:hanging="720"/>
      </w:pPr>
      <w:rPr>
        <w:rFonts w:cs="Times New Roman"/>
        <w:b w:val="0"/>
      </w:rPr>
    </w:lvl>
    <w:lvl w:ilvl="2">
      <w:start w:val="1"/>
      <w:numFmt w:val="lowerLetter"/>
      <w:lvlText w:val="%3."/>
      <w:lvlJc w:val="left"/>
      <w:pPr>
        <w:tabs>
          <w:tab w:val="num" w:pos="1152"/>
        </w:tabs>
        <w:ind w:left="1152" w:hanging="432"/>
      </w:pPr>
      <w:rPr>
        <w:rFonts w:cs="Times New Roman"/>
        <w:b w:val="0"/>
      </w:rPr>
    </w:lvl>
    <w:lvl w:ilvl="3">
      <w:start w:val="1"/>
      <w:numFmt w:val="lowerRoman"/>
      <w:lvlText w:val="%4."/>
      <w:lvlJc w:val="right"/>
      <w:pPr>
        <w:tabs>
          <w:tab w:val="num" w:pos="1584"/>
        </w:tabs>
        <w:ind w:left="1584" w:hanging="288"/>
      </w:pPr>
      <w:rPr>
        <w:rFonts w:cs="Times New Roman"/>
      </w:rPr>
    </w:lvl>
    <w:lvl w:ilvl="4">
      <w:start w:val="1"/>
      <w:numFmt w:val="none"/>
      <w:lvlText w:val=""/>
      <w:lvlJc w:val="left"/>
      <w:pPr>
        <w:tabs>
          <w:tab w:val="num" w:pos="3240"/>
        </w:tabs>
        <w:ind w:left="2880"/>
      </w:pPr>
      <w:rPr>
        <w:rFonts w:cs="Times New Roman"/>
      </w:rPr>
    </w:lvl>
    <w:lvl w:ilvl="5">
      <w:start w:val="1"/>
      <w:numFmt w:val="none"/>
      <w:lvlText w:val=""/>
      <w:lvlJc w:val="left"/>
      <w:pPr>
        <w:tabs>
          <w:tab w:val="num" w:pos="3960"/>
        </w:tabs>
        <w:ind w:left="3600"/>
      </w:pPr>
      <w:rPr>
        <w:rFonts w:cs="Times New Roman"/>
      </w:rPr>
    </w:lvl>
    <w:lvl w:ilvl="6">
      <w:start w:val="1"/>
      <w:numFmt w:val="none"/>
      <w:lvlText w:val=""/>
      <w:lvlJc w:val="left"/>
      <w:pPr>
        <w:tabs>
          <w:tab w:val="num" w:pos="4680"/>
        </w:tabs>
        <w:ind w:left="4320"/>
      </w:pPr>
      <w:rPr>
        <w:rFonts w:cs="Times New Roman"/>
      </w:rPr>
    </w:lvl>
    <w:lvl w:ilvl="7">
      <w:start w:val="1"/>
      <w:numFmt w:val="none"/>
      <w:lvlText w:val=""/>
      <w:lvlJc w:val="left"/>
      <w:pPr>
        <w:tabs>
          <w:tab w:val="num" w:pos="5400"/>
        </w:tabs>
        <w:ind w:left="5040"/>
      </w:pPr>
      <w:rPr>
        <w:rFonts w:cs="Times New Roman"/>
      </w:rPr>
    </w:lvl>
    <w:lvl w:ilvl="8">
      <w:start w:val="1"/>
      <w:numFmt w:val="none"/>
      <w:lvlText w:val=""/>
      <w:lvlJc w:val="left"/>
      <w:pPr>
        <w:tabs>
          <w:tab w:val="num" w:pos="6120"/>
        </w:tabs>
        <w:ind w:left="5760"/>
      </w:pPr>
      <w:rPr>
        <w:rFonts w:cs="Times New Roman"/>
      </w:rPr>
    </w:lvl>
  </w:abstractNum>
  <w:abstractNum w:abstractNumId="3" w15:restartNumberingAfterBreak="0">
    <w:nsid w:val="0F363BFD"/>
    <w:multiLevelType w:val="hybridMultilevel"/>
    <w:tmpl w:val="2C2CE61A"/>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14F36D54"/>
    <w:multiLevelType w:val="hybridMultilevel"/>
    <w:tmpl w:val="D81C3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8706D7"/>
    <w:multiLevelType w:val="singleLevel"/>
    <w:tmpl w:val="94FAA138"/>
    <w:lvl w:ilvl="0">
      <w:start w:val="1"/>
      <w:numFmt w:val="decimal"/>
      <w:lvlText w:val="%1. "/>
      <w:legacy w:legacy="1" w:legacySpace="0" w:legacyIndent="360"/>
      <w:lvlJc w:val="left"/>
      <w:pPr>
        <w:ind w:left="1080" w:hanging="360"/>
      </w:pPr>
      <w:rPr>
        <w:rFonts w:ascii="Times New Roman" w:hAnsi="Times New Roman" w:hint="default"/>
        <w:b w:val="0"/>
        <w:i w:val="0"/>
        <w:sz w:val="24"/>
        <w:u w:val="none"/>
      </w:rPr>
    </w:lvl>
  </w:abstractNum>
  <w:abstractNum w:abstractNumId="6" w15:restartNumberingAfterBreak="0">
    <w:nsid w:val="1D3668C9"/>
    <w:multiLevelType w:val="hybridMultilevel"/>
    <w:tmpl w:val="681089D2"/>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7" w15:restartNumberingAfterBreak="0">
    <w:nsid w:val="1F7177F4"/>
    <w:multiLevelType w:val="hybridMultilevel"/>
    <w:tmpl w:val="2F66CAD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8" w15:restartNumberingAfterBreak="0">
    <w:nsid w:val="20DE27F7"/>
    <w:multiLevelType w:val="hybridMultilevel"/>
    <w:tmpl w:val="B836951A"/>
    <w:lvl w:ilvl="0" w:tplc="6CB8423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7B3394"/>
    <w:multiLevelType w:val="hybridMultilevel"/>
    <w:tmpl w:val="D4E4E5C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DEA348A"/>
    <w:multiLevelType w:val="hybridMultilevel"/>
    <w:tmpl w:val="AED490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E50886"/>
    <w:multiLevelType w:val="hybridMultilevel"/>
    <w:tmpl w:val="59405EF2"/>
    <w:lvl w:ilvl="0" w:tplc="D84ED7CC">
      <w:start w:val="1"/>
      <w:numFmt w:val="lowerRoman"/>
      <w:lvlText w:val="(%1)"/>
      <w:lvlJc w:val="left"/>
      <w:pPr>
        <w:ind w:left="144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1763A1D"/>
    <w:multiLevelType w:val="hybridMultilevel"/>
    <w:tmpl w:val="7AACB8F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347E2F"/>
    <w:multiLevelType w:val="hybridMultilevel"/>
    <w:tmpl w:val="73E0EA94"/>
    <w:lvl w:ilvl="0" w:tplc="6CF6AA2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A47635"/>
    <w:multiLevelType w:val="hybridMultilevel"/>
    <w:tmpl w:val="845A0FCA"/>
    <w:lvl w:ilvl="0" w:tplc="1C8C992A">
      <w:start w:val="1"/>
      <w:numFmt w:val="lowerRoman"/>
      <w:lvlText w:val="(%1)"/>
      <w:lvlJc w:val="left"/>
      <w:pPr>
        <w:ind w:left="680" w:hanging="720"/>
      </w:pPr>
      <w:rPr>
        <w:rFonts w:hint="default"/>
      </w:rPr>
    </w:lvl>
    <w:lvl w:ilvl="1" w:tplc="0C0A0019" w:tentative="1">
      <w:start w:val="1"/>
      <w:numFmt w:val="lowerLetter"/>
      <w:lvlText w:val="%2."/>
      <w:lvlJc w:val="left"/>
      <w:pPr>
        <w:ind w:left="1040" w:hanging="360"/>
      </w:pPr>
    </w:lvl>
    <w:lvl w:ilvl="2" w:tplc="0C0A001B" w:tentative="1">
      <w:start w:val="1"/>
      <w:numFmt w:val="lowerRoman"/>
      <w:lvlText w:val="%3."/>
      <w:lvlJc w:val="right"/>
      <w:pPr>
        <w:ind w:left="1760" w:hanging="180"/>
      </w:pPr>
    </w:lvl>
    <w:lvl w:ilvl="3" w:tplc="0C0A000F" w:tentative="1">
      <w:start w:val="1"/>
      <w:numFmt w:val="decimal"/>
      <w:lvlText w:val="%4."/>
      <w:lvlJc w:val="left"/>
      <w:pPr>
        <w:ind w:left="2480" w:hanging="360"/>
      </w:pPr>
    </w:lvl>
    <w:lvl w:ilvl="4" w:tplc="0C0A0019" w:tentative="1">
      <w:start w:val="1"/>
      <w:numFmt w:val="lowerLetter"/>
      <w:lvlText w:val="%5."/>
      <w:lvlJc w:val="left"/>
      <w:pPr>
        <w:ind w:left="3200" w:hanging="360"/>
      </w:pPr>
    </w:lvl>
    <w:lvl w:ilvl="5" w:tplc="0C0A001B" w:tentative="1">
      <w:start w:val="1"/>
      <w:numFmt w:val="lowerRoman"/>
      <w:lvlText w:val="%6."/>
      <w:lvlJc w:val="right"/>
      <w:pPr>
        <w:ind w:left="3920" w:hanging="180"/>
      </w:pPr>
    </w:lvl>
    <w:lvl w:ilvl="6" w:tplc="0C0A000F" w:tentative="1">
      <w:start w:val="1"/>
      <w:numFmt w:val="decimal"/>
      <w:lvlText w:val="%7."/>
      <w:lvlJc w:val="left"/>
      <w:pPr>
        <w:ind w:left="4640" w:hanging="360"/>
      </w:pPr>
    </w:lvl>
    <w:lvl w:ilvl="7" w:tplc="0C0A0019" w:tentative="1">
      <w:start w:val="1"/>
      <w:numFmt w:val="lowerLetter"/>
      <w:lvlText w:val="%8."/>
      <w:lvlJc w:val="left"/>
      <w:pPr>
        <w:ind w:left="5360" w:hanging="360"/>
      </w:pPr>
    </w:lvl>
    <w:lvl w:ilvl="8" w:tplc="0C0A001B" w:tentative="1">
      <w:start w:val="1"/>
      <w:numFmt w:val="lowerRoman"/>
      <w:lvlText w:val="%9."/>
      <w:lvlJc w:val="right"/>
      <w:pPr>
        <w:ind w:left="6080" w:hanging="180"/>
      </w:pPr>
    </w:lvl>
  </w:abstractNum>
  <w:abstractNum w:abstractNumId="15" w15:restartNumberingAfterBreak="0">
    <w:nsid w:val="3B8D5EAA"/>
    <w:multiLevelType w:val="hybridMultilevel"/>
    <w:tmpl w:val="7C7AFA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8E586C"/>
    <w:multiLevelType w:val="hybridMultilevel"/>
    <w:tmpl w:val="EDF8D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506684"/>
    <w:multiLevelType w:val="hybridMultilevel"/>
    <w:tmpl w:val="56C4F64A"/>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8" w15:restartNumberingAfterBreak="0">
    <w:nsid w:val="3E0C11E3"/>
    <w:multiLevelType w:val="hybridMultilevel"/>
    <w:tmpl w:val="EC3C7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B55C27"/>
    <w:multiLevelType w:val="hybridMultilevel"/>
    <w:tmpl w:val="4096165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EF6163F"/>
    <w:multiLevelType w:val="hybridMultilevel"/>
    <w:tmpl w:val="C5F259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EFA4FDD"/>
    <w:multiLevelType w:val="hybridMultilevel"/>
    <w:tmpl w:val="2A041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6737C3"/>
    <w:multiLevelType w:val="hybridMultilevel"/>
    <w:tmpl w:val="4096165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42D38C6"/>
    <w:multiLevelType w:val="hybridMultilevel"/>
    <w:tmpl w:val="46662F60"/>
    <w:lvl w:ilvl="0" w:tplc="9330167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5814C8"/>
    <w:multiLevelType w:val="hybridMultilevel"/>
    <w:tmpl w:val="FA809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4B413E"/>
    <w:multiLevelType w:val="hybridMultilevel"/>
    <w:tmpl w:val="2C84502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203820"/>
    <w:multiLevelType w:val="hybridMultilevel"/>
    <w:tmpl w:val="4096165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67392C"/>
    <w:multiLevelType w:val="hybridMultilevel"/>
    <w:tmpl w:val="9098819A"/>
    <w:lvl w:ilvl="0" w:tplc="279E34B6">
      <w:start w:val="1"/>
      <w:numFmt w:val="lowerRoman"/>
      <w:lvlText w:val="%1."/>
      <w:lvlJc w:val="left"/>
      <w:pPr>
        <w:ind w:left="1080" w:hanging="720"/>
      </w:pPr>
      <w:rPr>
        <w:rFonts w:hint="default"/>
        <w:i/>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5810134"/>
    <w:multiLevelType w:val="hybridMultilevel"/>
    <w:tmpl w:val="B18857B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CC0790"/>
    <w:multiLevelType w:val="hybridMultilevel"/>
    <w:tmpl w:val="86225D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5A37307E"/>
    <w:multiLevelType w:val="hybridMultilevel"/>
    <w:tmpl w:val="B07AC13A"/>
    <w:lvl w:ilvl="0" w:tplc="5A0267A6">
      <w:start w:val="1"/>
      <w:numFmt w:val="lowerRoman"/>
      <w:lvlText w:val="(%1)"/>
      <w:lvlJc w:val="left"/>
      <w:pPr>
        <w:ind w:left="1440" w:hanging="72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1" w15:restartNumberingAfterBreak="0">
    <w:nsid w:val="5A774E06"/>
    <w:multiLevelType w:val="hybridMultilevel"/>
    <w:tmpl w:val="1B0E68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5D043C25"/>
    <w:multiLevelType w:val="hybridMultilevel"/>
    <w:tmpl w:val="325A2E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4933519"/>
    <w:multiLevelType w:val="hybridMultilevel"/>
    <w:tmpl w:val="809C6F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58B61D4"/>
    <w:multiLevelType w:val="hybridMultilevel"/>
    <w:tmpl w:val="8C10C94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5" w15:restartNumberingAfterBreak="0">
    <w:nsid w:val="6A687084"/>
    <w:multiLevelType w:val="hybridMultilevel"/>
    <w:tmpl w:val="EDB49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236206"/>
    <w:multiLevelType w:val="hybridMultilevel"/>
    <w:tmpl w:val="4EBE65A8"/>
    <w:lvl w:ilvl="0" w:tplc="BEDEDB8E">
      <w:start w:val="1"/>
      <w:numFmt w:val="lowerRoman"/>
      <w:lvlText w:val="(%1)"/>
      <w:lvlJc w:val="left"/>
      <w:pPr>
        <w:ind w:left="680" w:hanging="720"/>
      </w:pPr>
      <w:rPr>
        <w:rFonts w:hint="default"/>
      </w:rPr>
    </w:lvl>
    <w:lvl w:ilvl="1" w:tplc="0C0A0019" w:tentative="1">
      <w:start w:val="1"/>
      <w:numFmt w:val="lowerLetter"/>
      <w:lvlText w:val="%2."/>
      <w:lvlJc w:val="left"/>
      <w:pPr>
        <w:ind w:left="1040" w:hanging="360"/>
      </w:pPr>
    </w:lvl>
    <w:lvl w:ilvl="2" w:tplc="0C0A001B" w:tentative="1">
      <w:start w:val="1"/>
      <w:numFmt w:val="lowerRoman"/>
      <w:lvlText w:val="%3."/>
      <w:lvlJc w:val="right"/>
      <w:pPr>
        <w:ind w:left="1760" w:hanging="180"/>
      </w:pPr>
    </w:lvl>
    <w:lvl w:ilvl="3" w:tplc="0C0A000F" w:tentative="1">
      <w:start w:val="1"/>
      <w:numFmt w:val="decimal"/>
      <w:lvlText w:val="%4."/>
      <w:lvlJc w:val="left"/>
      <w:pPr>
        <w:ind w:left="2480" w:hanging="360"/>
      </w:pPr>
    </w:lvl>
    <w:lvl w:ilvl="4" w:tplc="0C0A0019" w:tentative="1">
      <w:start w:val="1"/>
      <w:numFmt w:val="lowerLetter"/>
      <w:lvlText w:val="%5."/>
      <w:lvlJc w:val="left"/>
      <w:pPr>
        <w:ind w:left="3200" w:hanging="360"/>
      </w:pPr>
    </w:lvl>
    <w:lvl w:ilvl="5" w:tplc="0C0A001B" w:tentative="1">
      <w:start w:val="1"/>
      <w:numFmt w:val="lowerRoman"/>
      <w:lvlText w:val="%6."/>
      <w:lvlJc w:val="right"/>
      <w:pPr>
        <w:ind w:left="3920" w:hanging="180"/>
      </w:pPr>
    </w:lvl>
    <w:lvl w:ilvl="6" w:tplc="0C0A000F" w:tentative="1">
      <w:start w:val="1"/>
      <w:numFmt w:val="decimal"/>
      <w:lvlText w:val="%7."/>
      <w:lvlJc w:val="left"/>
      <w:pPr>
        <w:ind w:left="4640" w:hanging="360"/>
      </w:pPr>
    </w:lvl>
    <w:lvl w:ilvl="7" w:tplc="0C0A0019" w:tentative="1">
      <w:start w:val="1"/>
      <w:numFmt w:val="lowerLetter"/>
      <w:lvlText w:val="%8."/>
      <w:lvlJc w:val="left"/>
      <w:pPr>
        <w:ind w:left="5360" w:hanging="360"/>
      </w:pPr>
    </w:lvl>
    <w:lvl w:ilvl="8" w:tplc="0C0A001B" w:tentative="1">
      <w:start w:val="1"/>
      <w:numFmt w:val="lowerRoman"/>
      <w:lvlText w:val="%9."/>
      <w:lvlJc w:val="right"/>
      <w:pPr>
        <w:ind w:left="6080" w:hanging="180"/>
      </w:pPr>
    </w:lvl>
  </w:abstractNum>
  <w:abstractNum w:abstractNumId="37" w15:restartNumberingAfterBreak="0">
    <w:nsid w:val="6CA40EA0"/>
    <w:multiLevelType w:val="hybridMultilevel"/>
    <w:tmpl w:val="1F5218D8"/>
    <w:lvl w:ilvl="0" w:tplc="3DD23484">
      <w:start w:val="1"/>
      <w:numFmt w:val="lowerRoman"/>
      <w:lvlText w:val="(%1)"/>
      <w:lvlJc w:val="left"/>
      <w:pPr>
        <w:ind w:left="680" w:hanging="720"/>
      </w:pPr>
      <w:rPr>
        <w:rFonts w:hint="default"/>
      </w:rPr>
    </w:lvl>
    <w:lvl w:ilvl="1" w:tplc="04090019" w:tentative="1">
      <w:start w:val="1"/>
      <w:numFmt w:val="lowerLetter"/>
      <w:lvlText w:val="%2."/>
      <w:lvlJc w:val="left"/>
      <w:pPr>
        <w:ind w:left="1040" w:hanging="360"/>
      </w:pPr>
    </w:lvl>
    <w:lvl w:ilvl="2" w:tplc="0409001B" w:tentative="1">
      <w:start w:val="1"/>
      <w:numFmt w:val="lowerRoman"/>
      <w:lvlText w:val="%3."/>
      <w:lvlJc w:val="right"/>
      <w:pPr>
        <w:ind w:left="1760" w:hanging="180"/>
      </w:pPr>
    </w:lvl>
    <w:lvl w:ilvl="3" w:tplc="0409000F" w:tentative="1">
      <w:start w:val="1"/>
      <w:numFmt w:val="decimal"/>
      <w:lvlText w:val="%4."/>
      <w:lvlJc w:val="left"/>
      <w:pPr>
        <w:ind w:left="2480" w:hanging="360"/>
      </w:pPr>
    </w:lvl>
    <w:lvl w:ilvl="4" w:tplc="04090019" w:tentative="1">
      <w:start w:val="1"/>
      <w:numFmt w:val="lowerLetter"/>
      <w:lvlText w:val="%5."/>
      <w:lvlJc w:val="left"/>
      <w:pPr>
        <w:ind w:left="3200" w:hanging="360"/>
      </w:pPr>
    </w:lvl>
    <w:lvl w:ilvl="5" w:tplc="0409001B" w:tentative="1">
      <w:start w:val="1"/>
      <w:numFmt w:val="lowerRoman"/>
      <w:lvlText w:val="%6."/>
      <w:lvlJc w:val="right"/>
      <w:pPr>
        <w:ind w:left="3920" w:hanging="180"/>
      </w:pPr>
    </w:lvl>
    <w:lvl w:ilvl="6" w:tplc="0409000F" w:tentative="1">
      <w:start w:val="1"/>
      <w:numFmt w:val="decimal"/>
      <w:lvlText w:val="%7."/>
      <w:lvlJc w:val="left"/>
      <w:pPr>
        <w:ind w:left="4640" w:hanging="360"/>
      </w:pPr>
    </w:lvl>
    <w:lvl w:ilvl="7" w:tplc="04090019" w:tentative="1">
      <w:start w:val="1"/>
      <w:numFmt w:val="lowerLetter"/>
      <w:lvlText w:val="%8."/>
      <w:lvlJc w:val="left"/>
      <w:pPr>
        <w:ind w:left="5360" w:hanging="360"/>
      </w:pPr>
    </w:lvl>
    <w:lvl w:ilvl="8" w:tplc="0409001B" w:tentative="1">
      <w:start w:val="1"/>
      <w:numFmt w:val="lowerRoman"/>
      <w:lvlText w:val="%9."/>
      <w:lvlJc w:val="right"/>
      <w:pPr>
        <w:ind w:left="6080" w:hanging="180"/>
      </w:pPr>
    </w:lvl>
  </w:abstractNum>
  <w:abstractNum w:abstractNumId="38" w15:restartNumberingAfterBreak="0">
    <w:nsid w:val="7057003A"/>
    <w:multiLevelType w:val="hybridMultilevel"/>
    <w:tmpl w:val="A3104F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6B77EC"/>
    <w:multiLevelType w:val="hybridMultilevel"/>
    <w:tmpl w:val="E76EE70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940D7E"/>
    <w:multiLevelType w:val="singleLevel"/>
    <w:tmpl w:val="A59A7A38"/>
    <w:lvl w:ilvl="0">
      <w:start w:val="1"/>
      <w:numFmt w:val="decimal"/>
      <w:lvlText w:val="%1."/>
      <w:legacy w:legacy="1" w:legacySpace="0" w:legacyIndent="360"/>
      <w:lvlJc w:val="left"/>
      <w:pPr>
        <w:ind w:left="720" w:hanging="360"/>
      </w:pPr>
    </w:lvl>
  </w:abstractNum>
  <w:abstractNum w:abstractNumId="41" w15:restartNumberingAfterBreak="0">
    <w:nsid w:val="75A463FC"/>
    <w:multiLevelType w:val="hybridMultilevel"/>
    <w:tmpl w:val="115A138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5B5644C"/>
    <w:multiLevelType w:val="hybridMultilevel"/>
    <w:tmpl w:val="C5643B3A"/>
    <w:lvl w:ilvl="0" w:tplc="17709B48">
      <w:start w:val="1"/>
      <w:numFmt w:val="lowerRoman"/>
      <w:lvlText w:val="(%1)"/>
      <w:lvlJc w:val="left"/>
      <w:pPr>
        <w:ind w:left="1440" w:hanging="72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3" w15:restartNumberingAfterBreak="0">
    <w:nsid w:val="7A514108"/>
    <w:multiLevelType w:val="hybridMultilevel"/>
    <w:tmpl w:val="675A85F2"/>
    <w:lvl w:ilvl="0" w:tplc="214269EE">
      <w:start w:val="1"/>
      <w:numFmt w:val="upperRoman"/>
      <w:lvlText w:val="%1."/>
      <w:lvlJc w:val="left"/>
      <w:pPr>
        <w:ind w:left="1080" w:hanging="720"/>
      </w:pPr>
      <w:rPr>
        <w:rFonts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273673"/>
    <w:multiLevelType w:val="hybridMultilevel"/>
    <w:tmpl w:val="2E9C63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F301769"/>
    <w:multiLevelType w:val="hybridMultilevel"/>
    <w:tmpl w:val="A56A6C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0"/>
  </w:num>
  <w:num w:numId="3">
    <w:abstractNumId w:val="38"/>
  </w:num>
  <w:num w:numId="4">
    <w:abstractNumId w:val="12"/>
  </w:num>
  <w:num w:numId="5">
    <w:abstractNumId w:val="10"/>
  </w:num>
  <w:num w:numId="6">
    <w:abstractNumId w:val="1"/>
  </w:num>
  <w:num w:numId="7">
    <w:abstractNumId w:val="44"/>
  </w:num>
  <w:num w:numId="8">
    <w:abstractNumId w:val="0"/>
  </w:num>
  <w:num w:numId="9">
    <w:abstractNumId w:val="4"/>
  </w:num>
  <w:num w:numId="10">
    <w:abstractNumId w:val="41"/>
  </w:num>
  <w:num w:numId="11">
    <w:abstractNumId w:val="40"/>
  </w:num>
  <w:num w:numId="12">
    <w:abstractNumId w:val="34"/>
  </w:num>
  <w:num w:numId="13">
    <w:abstractNumId w:val="3"/>
  </w:num>
  <w:num w:numId="14">
    <w:abstractNumId w:val="7"/>
  </w:num>
  <w:num w:numId="15">
    <w:abstractNumId w:val="19"/>
  </w:num>
  <w:num w:numId="16">
    <w:abstractNumId w:val="17"/>
  </w:num>
  <w:num w:numId="17">
    <w:abstractNumId w:val="25"/>
  </w:num>
  <w:num w:numId="18">
    <w:abstractNumId w:val="26"/>
  </w:num>
  <w:num w:numId="19">
    <w:abstractNumId w:val="22"/>
  </w:num>
  <w:num w:numId="20">
    <w:abstractNumId w:val="23"/>
  </w:num>
  <w:num w:numId="21">
    <w:abstractNumId w:val="6"/>
  </w:num>
  <w:num w:numId="22">
    <w:abstractNumId w:val="43"/>
  </w:num>
  <w:num w:numId="23">
    <w:abstractNumId w:val="13"/>
  </w:num>
  <w:num w:numId="24">
    <w:abstractNumId w:val="45"/>
  </w:num>
  <w:num w:numId="25">
    <w:abstractNumId w:val="5"/>
  </w:num>
  <w:num w:numId="26">
    <w:abstractNumId w:val="16"/>
  </w:num>
  <w:num w:numId="27">
    <w:abstractNumId w:val="2"/>
  </w:num>
  <w:num w:numId="28">
    <w:abstractNumId w:val="21"/>
  </w:num>
  <w:num w:numId="29">
    <w:abstractNumId w:val="15"/>
  </w:num>
  <w:num w:numId="30">
    <w:abstractNumId w:val="37"/>
  </w:num>
  <w:num w:numId="31">
    <w:abstractNumId w:val="9"/>
  </w:num>
  <w:num w:numId="32">
    <w:abstractNumId w:val="36"/>
  </w:num>
  <w:num w:numId="33">
    <w:abstractNumId w:val="14"/>
  </w:num>
  <w:num w:numId="34">
    <w:abstractNumId w:val="32"/>
  </w:num>
  <w:num w:numId="35">
    <w:abstractNumId w:val="42"/>
  </w:num>
  <w:num w:numId="36">
    <w:abstractNumId w:val="30"/>
  </w:num>
  <w:num w:numId="37">
    <w:abstractNumId w:val="18"/>
  </w:num>
  <w:num w:numId="38">
    <w:abstractNumId w:val="11"/>
  </w:num>
  <w:num w:numId="39">
    <w:abstractNumId w:val="33"/>
  </w:num>
  <w:num w:numId="40">
    <w:abstractNumId w:val="27"/>
  </w:num>
  <w:num w:numId="41">
    <w:abstractNumId w:val="39"/>
  </w:num>
  <w:num w:numId="42">
    <w:abstractNumId w:val="28"/>
  </w:num>
  <w:num w:numId="43">
    <w:abstractNumId w:val="8"/>
  </w:num>
  <w:num w:numId="44">
    <w:abstractNumId w:val="31"/>
  </w:num>
  <w:num w:numId="45">
    <w:abstractNumId w:val="24"/>
  </w:num>
  <w:num w:numId="46">
    <w:abstractNumId w:val="35"/>
  </w:num>
  <w:num w:numId="4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4D0E"/>
    <w:rsid w:val="00000658"/>
    <w:rsid w:val="0000440D"/>
    <w:rsid w:val="00007AA1"/>
    <w:rsid w:val="0001475E"/>
    <w:rsid w:val="00016DC4"/>
    <w:rsid w:val="00022F81"/>
    <w:rsid w:val="00023FE9"/>
    <w:rsid w:val="00024316"/>
    <w:rsid w:val="00031CE1"/>
    <w:rsid w:val="00032DA5"/>
    <w:rsid w:val="0003315D"/>
    <w:rsid w:val="0003390B"/>
    <w:rsid w:val="00036ED4"/>
    <w:rsid w:val="000402AC"/>
    <w:rsid w:val="000475FC"/>
    <w:rsid w:val="00055A9B"/>
    <w:rsid w:val="00056774"/>
    <w:rsid w:val="00060183"/>
    <w:rsid w:val="000601B0"/>
    <w:rsid w:val="00062498"/>
    <w:rsid w:val="00063740"/>
    <w:rsid w:val="00067751"/>
    <w:rsid w:val="000709EE"/>
    <w:rsid w:val="000717AD"/>
    <w:rsid w:val="000736BE"/>
    <w:rsid w:val="00074387"/>
    <w:rsid w:val="00074CC4"/>
    <w:rsid w:val="000770A9"/>
    <w:rsid w:val="00082A4C"/>
    <w:rsid w:val="00083C5E"/>
    <w:rsid w:val="000907E3"/>
    <w:rsid w:val="0009269B"/>
    <w:rsid w:val="000A384B"/>
    <w:rsid w:val="000A3D98"/>
    <w:rsid w:val="000A5E59"/>
    <w:rsid w:val="000B153C"/>
    <w:rsid w:val="000B3FA3"/>
    <w:rsid w:val="000C1819"/>
    <w:rsid w:val="000C6ACF"/>
    <w:rsid w:val="000D487C"/>
    <w:rsid w:val="000D77D2"/>
    <w:rsid w:val="000E025E"/>
    <w:rsid w:val="000E0D30"/>
    <w:rsid w:val="000F176A"/>
    <w:rsid w:val="000F334E"/>
    <w:rsid w:val="000F7D4A"/>
    <w:rsid w:val="00101352"/>
    <w:rsid w:val="0010545E"/>
    <w:rsid w:val="001064BF"/>
    <w:rsid w:val="00106B61"/>
    <w:rsid w:val="00106C7E"/>
    <w:rsid w:val="0011203C"/>
    <w:rsid w:val="001137CA"/>
    <w:rsid w:val="00114E11"/>
    <w:rsid w:val="00130ABA"/>
    <w:rsid w:val="00147BC3"/>
    <w:rsid w:val="001576F5"/>
    <w:rsid w:val="0016084D"/>
    <w:rsid w:val="00164337"/>
    <w:rsid w:val="001671FA"/>
    <w:rsid w:val="001714FB"/>
    <w:rsid w:val="00173684"/>
    <w:rsid w:val="00174CF6"/>
    <w:rsid w:val="001760EC"/>
    <w:rsid w:val="00182417"/>
    <w:rsid w:val="00187C61"/>
    <w:rsid w:val="00192764"/>
    <w:rsid w:val="00192D84"/>
    <w:rsid w:val="00193460"/>
    <w:rsid w:val="00195B66"/>
    <w:rsid w:val="001A42AB"/>
    <w:rsid w:val="001B41B4"/>
    <w:rsid w:val="001B652E"/>
    <w:rsid w:val="001C3239"/>
    <w:rsid w:val="001C38D5"/>
    <w:rsid w:val="001E0805"/>
    <w:rsid w:val="001E0939"/>
    <w:rsid w:val="001E1478"/>
    <w:rsid w:val="001E3201"/>
    <w:rsid w:val="001E61A2"/>
    <w:rsid w:val="001E72E9"/>
    <w:rsid w:val="001F1A0D"/>
    <w:rsid w:val="001F550B"/>
    <w:rsid w:val="00204E19"/>
    <w:rsid w:val="00210A09"/>
    <w:rsid w:val="002122B1"/>
    <w:rsid w:val="002163A5"/>
    <w:rsid w:val="002169E7"/>
    <w:rsid w:val="00217BA1"/>
    <w:rsid w:val="00225B0D"/>
    <w:rsid w:val="002268E3"/>
    <w:rsid w:val="00230E33"/>
    <w:rsid w:val="002313C5"/>
    <w:rsid w:val="00234542"/>
    <w:rsid w:val="00245EEB"/>
    <w:rsid w:val="00257F1D"/>
    <w:rsid w:val="00267835"/>
    <w:rsid w:val="0027316A"/>
    <w:rsid w:val="00273263"/>
    <w:rsid w:val="00281485"/>
    <w:rsid w:val="00282175"/>
    <w:rsid w:val="00284883"/>
    <w:rsid w:val="002A09DC"/>
    <w:rsid w:val="002A1192"/>
    <w:rsid w:val="002A68F8"/>
    <w:rsid w:val="002B10FE"/>
    <w:rsid w:val="002B123A"/>
    <w:rsid w:val="002B34A0"/>
    <w:rsid w:val="002B5549"/>
    <w:rsid w:val="002B741E"/>
    <w:rsid w:val="002C4701"/>
    <w:rsid w:val="002C7973"/>
    <w:rsid w:val="002D23C0"/>
    <w:rsid w:val="002D4A76"/>
    <w:rsid w:val="002D4A8D"/>
    <w:rsid w:val="002E1296"/>
    <w:rsid w:val="002E38CA"/>
    <w:rsid w:val="002F0C0B"/>
    <w:rsid w:val="002F36AC"/>
    <w:rsid w:val="00301998"/>
    <w:rsid w:val="0030415D"/>
    <w:rsid w:val="00305484"/>
    <w:rsid w:val="00314F60"/>
    <w:rsid w:val="00317B24"/>
    <w:rsid w:val="00327120"/>
    <w:rsid w:val="00333DE0"/>
    <w:rsid w:val="0033584F"/>
    <w:rsid w:val="00335F48"/>
    <w:rsid w:val="003365E7"/>
    <w:rsid w:val="00354309"/>
    <w:rsid w:val="0035505A"/>
    <w:rsid w:val="00355A9D"/>
    <w:rsid w:val="00356737"/>
    <w:rsid w:val="00356C72"/>
    <w:rsid w:val="00356D41"/>
    <w:rsid w:val="00363E48"/>
    <w:rsid w:val="003641A9"/>
    <w:rsid w:val="00366721"/>
    <w:rsid w:val="00375EDD"/>
    <w:rsid w:val="0037628B"/>
    <w:rsid w:val="0037732B"/>
    <w:rsid w:val="00380B9E"/>
    <w:rsid w:val="003820E4"/>
    <w:rsid w:val="0038368D"/>
    <w:rsid w:val="003865E4"/>
    <w:rsid w:val="00386BED"/>
    <w:rsid w:val="003902BF"/>
    <w:rsid w:val="00391CEE"/>
    <w:rsid w:val="00395EEC"/>
    <w:rsid w:val="003A1673"/>
    <w:rsid w:val="003A21FA"/>
    <w:rsid w:val="003A2B0D"/>
    <w:rsid w:val="003B146D"/>
    <w:rsid w:val="003B345D"/>
    <w:rsid w:val="003B3AA0"/>
    <w:rsid w:val="003C0D94"/>
    <w:rsid w:val="003C2107"/>
    <w:rsid w:val="003C4555"/>
    <w:rsid w:val="003C7BD9"/>
    <w:rsid w:val="003D54D2"/>
    <w:rsid w:val="003D7788"/>
    <w:rsid w:val="003E04D8"/>
    <w:rsid w:val="003E0F8F"/>
    <w:rsid w:val="003E5701"/>
    <w:rsid w:val="003F2571"/>
    <w:rsid w:val="003F40A1"/>
    <w:rsid w:val="003F40D3"/>
    <w:rsid w:val="003F69E3"/>
    <w:rsid w:val="004173BC"/>
    <w:rsid w:val="00417505"/>
    <w:rsid w:val="00417DC6"/>
    <w:rsid w:val="00421631"/>
    <w:rsid w:val="004229E5"/>
    <w:rsid w:val="00423E2B"/>
    <w:rsid w:val="00434F80"/>
    <w:rsid w:val="00437116"/>
    <w:rsid w:val="004527A6"/>
    <w:rsid w:val="00453177"/>
    <w:rsid w:val="004535B9"/>
    <w:rsid w:val="0045502E"/>
    <w:rsid w:val="00455118"/>
    <w:rsid w:val="00465346"/>
    <w:rsid w:val="00470A2C"/>
    <w:rsid w:val="0048427C"/>
    <w:rsid w:val="004910C8"/>
    <w:rsid w:val="00494795"/>
    <w:rsid w:val="00494D72"/>
    <w:rsid w:val="0049549F"/>
    <w:rsid w:val="00496C25"/>
    <w:rsid w:val="004979DF"/>
    <w:rsid w:val="004A184C"/>
    <w:rsid w:val="004B77D8"/>
    <w:rsid w:val="004C07F8"/>
    <w:rsid w:val="004C62B9"/>
    <w:rsid w:val="004D52E7"/>
    <w:rsid w:val="004E517D"/>
    <w:rsid w:val="004E6CB4"/>
    <w:rsid w:val="004F0961"/>
    <w:rsid w:val="00501A6A"/>
    <w:rsid w:val="005028E9"/>
    <w:rsid w:val="00503F08"/>
    <w:rsid w:val="00513DD0"/>
    <w:rsid w:val="00514532"/>
    <w:rsid w:val="005150CA"/>
    <w:rsid w:val="0051692B"/>
    <w:rsid w:val="00517CCC"/>
    <w:rsid w:val="00524207"/>
    <w:rsid w:val="00535285"/>
    <w:rsid w:val="005402C7"/>
    <w:rsid w:val="0054121F"/>
    <w:rsid w:val="00541757"/>
    <w:rsid w:val="005418CA"/>
    <w:rsid w:val="005455EB"/>
    <w:rsid w:val="00545A0B"/>
    <w:rsid w:val="00546A99"/>
    <w:rsid w:val="005508EF"/>
    <w:rsid w:val="00550B8B"/>
    <w:rsid w:val="00551E91"/>
    <w:rsid w:val="00557B81"/>
    <w:rsid w:val="00557C0B"/>
    <w:rsid w:val="00563673"/>
    <w:rsid w:val="0057495F"/>
    <w:rsid w:val="00577837"/>
    <w:rsid w:val="00584537"/>
    <w:rsid w:val="00585741"/>
    <w:rsid w:val="0059055B"/>
    <w:rsid w:val="00593231"/>
    <w:rsid w:val="005A149A"/>
    <w:rsid w:val="005A3734"/>
    <w:rsid w:val="005A3899"/>
    <w:rsid w:val="005B5283"/>
    <w:rsid w:val="005B5997"/>
    <w:rsid w:val="005C089C"/>
    <w:rsid w:val="005C1034"/>
    <w:rsid w:val="005C25A3"/>
    <w:rsid w:val="005C2B4E"/>
    <w:rsid w:val="005C5249"/>
    <w:rsid w:val="005C6E33"/>
    <w:rsid w:val="005D0B93"/>
    <w:rsid w:val="005D3269"/>
    <w:rsid w:val="005D33AC"/>
    <w:rsid w:val="005E068E"/>
    <w:rsid w:val="005E147D"/>
    <w:rsid w:val="005E1E3A"/>
    <w:rsid w:val="005E515F"/>
    <w:rsid w:val="005F18B5"/>
    <w:rsid w:val="005F2A2E"/>
    <w:rsid w:val="005F5745"/>
    <w:rsid w:val="005F57B3"/>
    <w:rsid w:val="00600FCC"/>
    <w:rsid w:val="006019EF"/>
    <w:rsid w:val="00602347"/>
    <w:rsid w:val="00611E64"/>
    <w:rsid w:val="00613A4F"/>
    <w:rsid w:val="00616425"/>
    <w:rsid w:val="00617F15"/>
    <w:rsid w:val="00625081"/>
    <w:rsid w:val="00625EC8"/>
    <w:rsid w:val="006264F0"/>
    <w:rsid w:val="00626728"/>
    <w:rsid w:val="00626838"/>
    <w:rsid w:val="00627A8D"/>
    <w:rsid w:val="00630388"/>
    <w:rsid w:val="00631DD4"/>
    <w:rsid w:val="00633F11"/>
    <w:rsid w:val="00634350"/>
    <w:rsid w:val="00636E85"/>
    <w:rsid w:val="006446DC"/>
    <w:rsid w:val="00644BB9"/>
    <w:rsid w:val="006560B0"/>
    <w:rsid w:val="006606C8"/>
    <w:rsid w:val="00663181"/>
    <w:rsid w:val="00663478"/>
    <w:rsid w:val="006701AF"/>
    <w:rsid w:val="006752FF"/>
    <w:rsid w:val="00681394"/>
    <w:rsid w:val="00681FAA"/>
    <w:rsid w:val="0068261D"/>
    <w:rsid w:val="00685EFA"/>
    <w:rsid w:val="00687D8B"/>
    <w:rsid w:val="00692169"/>
    <w:rsid w:val="006A43A7"/>
    <w:rsid w:val="006A520F"/>
    <w:rsid w:val="006A7F6F"/>
    <w:rsid w:val="006B2424"/>
    <w:rsid w:val="006B379C"/>
    <w:rsid w:val="006C57F2"/>
    <w:rsid w:val="006D5F21"/>
    <w:rsid w:val="006D7DD5"/>
    <w:rsid w:val="006E03EA"/>
    <w:rsid w:val="006E0713"/>
    <w:rsid w:val="006E23FE"/>
    <w:rsid w:val="006E2CC4"/>
    <w:rsid w:val="006E2E60"/>
    <w:rsid w:val="006E347B"/>
    <w:rsid w:val="006E413C"/>
    <w:rsid w:val="006E5D9E"/>
    <w:rsid w:val="006E75AC"/>
    <w:rsid w:val="006F061F"/>
    <w:rsid w:val="006F3ED9"/>
    <w:rsid w:val="006F3FEC"/>
    <w:rsid w:val="006F540A"/>
    <w:rsid w:val="0070116A"/>
    <w:rsid w:val="00701E11"/>
    <w:rsid w:val="00707D23"/>
    <w:rsid w:val="00710D2D"/>
    <w:rsid w:val="0071172A"/>
    <w:rsid w:val="00712429"/>
    <w:rsid w:val="00727797"/>
    <w:rsid w:val="007308F7"/>
    <w:rsid w:val="00731AA2"/>
    <w:rsid w:val="007346B4"/>
    <w:rsid w:val="0073516B"/>
    <w:rsid w:val="00737873"/>
    <w:rsid w:val="00737F89"/>
    <w:rsid w:val="00753877"/>
    <w:rsid w:val="007541F9"/>
    <w:rsid w:val="007566D6"/>
    <w:rsid w:val="00757FA4"/>
    <w:rsid w:val="0076003C"/>
    <w:rsid w:val="00767BBC"/>
    <w:rsid w:val="0077337C"/>
    <w:rsid w:val="00777DB9"/>
    <w:rsid w:val="00780B77"/>
    <w:rsid w:val="007813EB"/>
    <w:rsid w:val="00782A7B"/>
    <w:rsid w:val="00782B2A"/>
    <w:rsid w:val="007929DE"/>
    <w:rsid w:val="00796634"/>
    <w:rsid w:val="007A1FD8"/>
    <w:rsid w:val="007A3521"/>
    <w:rsid w:val="007A48F2"/>
    <w:rsid w:val="007A5174"/>
    <w:rsid w:val="007A53CF"/>
    <w:rsid w:val="007B07FF"/>
    <w:rsid w:val="007B45C6"/>
    <w:rsid w:val="007C4F0C"/>
    <w:rsid w:val="007D16F3"/>
    <w:rsid w:val="007D2632"/>
    <w:rsid w:val="007D2871"/>
    <w:rsid w:val="007E5611"/>
    <w:rsid w:val="007E6E46"/>
    <w:rsid w:val="007F083A"/>
    <w:rsid w:val="007F0C12"/>
    <w:rsid w:val="007F4242"/>
    <w:rsid w:val="00800927"/>
    <w:rsid w:val="008024B6"/>
    <w:rsid w:val="00804DA4"/>
    <w:rsid w:val="008075B3"/>
    <w:rsid w:val="008101DC"/>
    <w:rsid w:val="0081180E"/>
    <w:rsid w:val="00811C7D"/>
    <w:rsid w:val="008349C1"/>
    <w:rsid w:val="00837EF1"/>
    <w:rsid w:val="00844449"/>
    <w:rsid w:val="00846AEC"/>
    <w:rsid w:val="008477AA"/>
    <w:rsid w:val="00847FEC"/>
    <w:rsid w:val="008502FC"/>
    <w:rsid w:val="00850AF9"/>
    <w:rsid w:val="0085474C"/>
    <w:rsid w:val="008627C7"/>
    <w:rsid w:val="008741DF"/>
    <w:rsid w:val="00875358"/>
    <w:rsid w:val="008779FF"/>
    <w:rsid w:val="008860E5"/>
    <w:rsid w:val="00890707"/>
    <w:rsid w:val="00891E25"/>
    <w:rsid w:val="00892C06"/>
    <w:rsid w:val="00893587"/>
    <w:rsid w:val="008952AF"/>
    <w:rsid w:val="008A042E"/>
    <w:rsid w:val="008A0DF6"/>
    <w:rsid w:val="008B7D9A"/>
    <w:rsid w:val="008C0A22"/>
    <w:rsid w:val="008C5F12"/>
    <w:rsid w:val="008D132D"/>
    <w:rsid w:val="008D5169"/>
    <w:rsid w:val="008D6D19"/>
    <w:rsid w:val="008D7CF7"/>
    <w:rsid w:val="008E0AF2"/>
    <w:rsid w:val="008E0C2F"/>
    <w:rsid w:val="008F06A3"/>
    <w:rsid w:val="008F3A1B"/>
    <w:rsid w:val="008F6C1C"/>
    <w:rsid w:val="00901725"/>
    <w:rsid w:val="00904C3F"/>
    <w:rsid w:val="00906A20"/>
    <w:rsid w:val="00921201"/>
    <w:rsid w:val="009216DD"/>
    <w:rsid w:val="00921754"/>
    <w:rsid w:val="00926FCB"/>
    <w:rsid w:val="009340E7"/>
    <w:rsid w:val="0093533D"/>
    <w:rsid w:val="009432E0"/>
    <w:rsid w:val="009436B8"/>
    <w:rsid w:val="009452C0"/>
    <w:rsid w:val="00950F80"/>
    <w:rsid w:val="00953C33"/>
    <w:rsid w:val="00956DEA"/>
    <w:rsid w:val="009613ED"/>
    <w:rsid w:val="00966D59"/>
    <w:rsid w:val="00966FAA"/>
    <w:rsid w:val="00967733"/>
    <w:rsid w:val="00977A17"/>
    <w:rsid w:val="009866FC"/>
    <w:rsid w:val="009A42F6"/>
    <w:rsid w:val="009B00E9"/>
    <w:rsid w:val="009C2281"/>
    <w:rsid w:val="009C25A5"/>
    <w:rsid w:val="009C4AB0"/>
    <w:rsid w:val="009C56F5"/>
    <w:rsid w:val="009D0595"/>
    <w:rsid w:val="009D3ADF"/>
    <w:rsid w:val="009D4321"/>
    <w:rsid w:val="009D5819"/>
    <w:rsid w:val="009D59E3"/>
    <w:rsid w:val="009D666D"/>
    <w:rsid w:val="009E3B12"/>
    <w:rsid w:val="009E6296"/>
    <w:rsid w:val="009F010B"/>
    <w:rsid w:val="009F3672"/>
    <w:rsid w:val="009F392A"/>
    <w:rsid w:val="00A03E58"/>
    <w:rsid w:val="00A04113"/>
    <w:rsid w:val="00A14131"/>
    <w:rsid w:val="00A1784D"/>
    <w:rsid w:val="00A235B8"/>
    <w:rsid w:val="00A2726B"/>
    <w:rsid w:val="00A31366"/>
    <w:rsid w:val="00A345B9"/>
    <w:rsid w:val="00A35739"/>
    <w:rsid w:val="00A41680"/>
    <w:rsid w:val="00A41ECF"/>
    <w:rsid w:val="00A437D7"/>
    <w:rsid w:val="00A44042"/>
    <w:rsid w:val="00A4531F"/>
    <w:rsid w:val="00A50833"/>
    <w:rsid w:val="00A55069"/>
    <w:rsid w:val="00A5520E"/>
    <w:rsid w:val="00A57491"/>
    <w:rsid w:val="00A61F34"/>
    <w:rsid w:val="00A743B1"/>
    <w:rsid w:val="00A84406"/>
    <w:rsid w:val="00A846B3"/>
    <w:rsid w:val="00A86DF7"/>
    <w:rsid w:val="00A9077B"/>
    <w:rsid w:val="00A95ABD"/>
    <w:rsid w:val="00A97D8B"/>
    <w:rsid w:val="00AA0472"/>
    <w:rsid w:val="00AB0D0E"/>
    <w:rsid w:val="00AB10DE"/>
    <w:rsid w:val="00AB1536"/>
    <w:rsid w:val="00AB569A"/>
    <w:rsid w:val="00AC171B"/>
    <w:rsid w:val="00AC5DA7"/>
    <w:rsid w:val="00AD37C1"/>
    <w:rsid w:val="00AE090D"/>
    <w:rsid w:val="00AE1180"/>
    <w:rsid w:val="00AE4F3A"/>
    <w:rsid w:val="00AE67FE"/>
    <w:rsid w:val="00AF6688"/>
    <w:rsid w:val="00B05385"/>
    <w:rsid w:val="00B105BD"/>
    <w:rsid w:val="00B1067E"/>
    <w:rsid w:val="00B11BA0"/>
    <w:rsid w:val="00B135E7"/>
    <w:rsid w:val="00B20D75"/>
    <w:rsid w:val="00B23A83"/>
    <w:rsid w:val="00B2537F"/>
    <w:rsid w:val="00B33C5D"/>
    <w:rsid w:val="00B41449"/>
    <w:rsid w:val="00B43F8A"/>
    <w:rsid w:val="00B45719"/>
    <w:rsid w:val="00B46467"/>
    <w:rsid w:val="00B46D80"/>
    <w:rsid w:val="00B517AA"/>
    <w:rsid w:val="00B538B2"/>
    <w:rsid w:val="00B53C49"/>
    <w:rsid w:val="00B5462F"/>
    <w:rsid w:val="00B55AE7"/>
    <w:rsid w:val="00B60EA4"/>
    <w:rsid w:val="00B62DEC"/>
    <w:rsid w:val="00B63FC7"/>
    <w:rsid w:val="00B65BD3"/>
    <w:rsid w:val="00B65E5C"/>
    <w:rsid w:val="00B6788D"/>
    <w:rsid w:val="00B718CF"/>
    <w:rsid w:val="00B757F7"/>
    <w:rsid w:val="00B80A67"/>
    <w:rsid w:val="00B812AD"/>
    <w:rsid w:val="00B8161B"/>
    <w:rsid w:val="00B83201"/>
    <w:rsid w:val="00B94B72"/>
    <w:rsid w:val="00B95917"/>
    <w:rsid w:val="00BA5B43"/>
    <w:rsid w:val="00BB3DC7"/>
    <w:rsid w:val="00BB584E"/>
    <w:rsid w:val="00BC3AFF"/>
    <w:rsid w:val="00BD11F4"/>
    <w:rsid w:val="00BD1337"/>
    <w:rsid w:val="00BD5454"/>
    <w:rsid w:val="00BD79FF"/>
    <w:rsid w:val="00BE6368"/>
    <w:rsid w:val="00BF0EDD"/>
    <w:rsid w:val="00BF2C34"/>
    <w:rsid w:val="00BF3CB8"/>
    <w:rsid w:val="00C002A1"/>
    <w:rsid w:val="00C00D32"/>
    <w:rsid w:val="00C02388"/>
    <w:rsid w:val="00C03F47"/>
    <w:rsid w:val="00C1297F"/>
    <w:rsid w:val="00C131E2"/>
    <w:rsid w:val="00C16DC7"/>
    <w:rsid w:val="00C17466"/>
    <w:rsid w:val="00C212AA"/>
    <w:rsid w:val="00C21F5A"/>
    <w:rsid w:val="00C22A13"/>
    <w:rsid w:val="00C247E9"/>
    <w:rsid w:val="00C24E59"/>
    <w:rsid w:val="00C25E6E"/>
    <w:rsid w:val="00C30E0E"/>
    <w:rsid w:val="00C341CD"/>
    <w:rsid w:val="00C34D0E"/>
    <w:rsid w:val="00C3563D"/>
    <w:rsid w:val="00C359CC"/>
    <w:rsid w:val="00C542ED"/>
    <w:rsid w:val="00C55687"/>
    <w:rsid w:val="00C578EE"/>
    <w:rsid w:val="00C621AB"/>
    <w:rsid w:val="00C7006C"/>
    <w:rsid w:val="00C70855"/>
    <w:rsid w:val="00C718A9"/>
    <w:rsid w:val="00C738F6"/>
    <w:rsid w:val="00C74402"/>
    <w:rsid w:val="00C7459E"/>
    <w:rsid w:val="00C77F67"/>
    <w:rsid w:val="00C92E59"/>
    <w:rsid w:val="00C93521"/>
    <w:rsid w:val="00C93D89"/>
    <w:rsid w:val="00CA17DA"/>
    <w:rsid w:val="00CA3C15"/>
    <w:rsid w:val="00CA47D3"/>
    <w:rsid w:val="00CB45A5"/>
    <w:rsid w:val="00CC78D2"/>
    <w:rsid w:val="00CD173D"/>
    <w:rsid w:val="00CD1A5D"/>
    <w:rsid w:val="00CD503E"/>
    <w:rsid w:val="00CD56CA"/>
    <w:rsid w:val="00CD70DC"/>
    <w:rsid w:val="00CE0CCB"/>
    <w:rsid w:val="00CE0DA3"/>
    <w:rsid w:val="00CE240A"/>
    <w:rsid w:val="00CE649A"/>
    <w:rsid w:val="00D02E3F"/>
    <w:rsid w:val="00D03054"/>
    <w:rsid w:val="00D04149"/>
    <w:rsid w:val="00D041DD"/>
    <w:rsid w:val="00D26C4B"/>
    <w:rsid w:val="00D3025B"/>
    <w:rsid w:val="00D303D1"/>
    <w:rsid w:val="00D3289E"/>
    <w:rsid w:val="00D3606A"/>
    <w:rsid w:val="00D40A8D"/>
    <w:rsid w:val="00D41025"/>
    <w:rsid w:val="00D44CFA"/>
    <w:rsid w:val="00D45827"/>
    <w:rsid w:val="00D47C6C"/>
    <w:rsid w:val="00D47F34"/>
    <w:rsid w:val="00D50980"/>
    <w:rsid w:val="00D54701"/>
    <w:rsid w:val="00D57CAE"/>
    <w:rsid w:val="00D611EC"/>
    <w:rsid w:val="00D655E9"/>
    <w:rsid w:val="00D672AF"/>
    <w:rsid w:val="00D67A1C"/>
    <w:rsid w:val="00D706EA"/>
    <w:rsid w:val="00D84615"/>
    <w:rsid w:val="00D87291"/>
    <w:rsid w:val="00D92765"/>
    <w:rsid w:val="00DA0C67"/>
    <w:rsid w:val="00DA2C66"/>
    <w:rsid w:val="00DA3694"/>
    <w:rsid w:val="00DA559F"/>
    <w:rsid w:val="00DB32DF"/>
    <w:rsid w:val="00DB6FF9"/>
    <w:rsid w:val="00DC0DE3"/>
    <w:rsid w:val="00DC1BB0"/>
    <w:rsid w:val="00DC428B"/>
    <w:rsid w:val="00DC4302"/>
    <w:rsid w:val="00DC4B00"/>
    <w:rsid w:val="00DC4CBA"/>
    <w:rsid w:val="00DC7DCE"/>
    <w:rsid w:val="00DD01C1"/>
    <w:rsid w:val="00DD05B9"/>
    <w:rsid w:val="00DD086D"/>
    <w:rsid w:val="00DD22FA"/>
    <w:rsid w:val="00DD30DC"/>
    <w:rsid w:val="00DD3F72"/>
    <w:rsid w:val="00DD4144"/>
    <w:rsid w:val="00DD6EB5"/>
    <w:rsid w:val="00DE2299"/>
    <w:rsid w:val="00DE3904"/>
    <w:rsid w:val="00DE3C5E"/>
    <w:rsid w:val="00DE3CEB"/>
    <w:rsid w:val="00DF4EAF"/>
    <w:rsid w:val="00DF51A1"/>
    <w:rsid w:val="00DF5F48"/>
    <w:rsid w:val="00DF707F"/>
    <w:rsid w:val="00E11984"/>
    <w:rsid w:val="00E17D2D"/>
    <w:rsid w:val="00E223C9"/>
    <w:rsid w:val="00E2339C"/>
    <w:rsid w:val="00E24289"/>
    <w:rsid w:val="00E24CFF"/>
    <w:rsid w:val="00E25BB8"/>
    <w:rsid w:val="00E33630"/>
    <w:rsid w:val="00E34D2A"/>
    <w:rsid w:val="00E36A65"/>
    <w:rsid w:val="00E36D65"/>
    <w:rsid w:val="00E41CA8"/>
    <w:rsid w:val="00E457A2"/>
    <w:rsid w:val="00E460FD"/>
    <w:rsid w:val="00E465BF"/>
    <w:rsid w:val="00E5146F"/>
    <w:rsid w:val="00E52719"/>
    <w:rsid w:val="00E5516C"/>
    <w:rsid w:val="00E5776F"/>
    <w:rsid w:val="00E601B1"/>
    <w:rsid w:val="00E606EA"/>
    <w:rsid w:val="00E63137"/>
    <w:rsid w:val="00E64707"/>
    <w:rsid w:val="00E72102"/>
    <w:rsid w:val="00E756A2"/>
    <w:rsid w:val="00E94B2B"/>
    <w:rsid w:val="00EA1B23"/>
    <w:rsid w:val="00EB4EF3"/>
    <w:rsid w:val="00EC04C8"/>
    <w:rsid w:val="00EC2A07"/>
    <w:rsid w:val="00EC3093"/>
    <w:rsid w:val="00EC7C57"/>
    <w:rsid w:val="00EE2BE4"/>
    <w:rsid w:val="00EE43D6"/>
    <w:rsid w:val="00EE7D49"/>
    <w:rsid w:val="00EF64FB"/>
    <w:rsid w:val="00EF6BE0"/>
    <w:rsid w:val="00F0039E"/>
    <w:rsid w:val="00F02171"/>
    <w:rsid w:val="00F021B7"/>
    <w:rsid w:val="00F1157B"/>
    <w:rsid w:val="00F1273D"/>
    <w:rsid w:val="00F15908"/>
    <w:rsid w:val="00F212C5"/>
    <w:rsid w:val="00F23570"/>
    <w:rsid w:val="00F30371"/>
    <w:rsid w:val="00F3156D"/>
    <w:rsid w:val="00F32773"/>
    <w:rsid w:val="00F43E9A"/>
    <w:rsid w:val="00F44868"/>
    <w:rsid w:val="00F47600"/>
    <w:rsid w:val="00F5136E"/>
    <w:rsid w:val="00F56109"/>
    <w:rsid w:val="00F627CF"/>
    <w:rsid w:val="00F65C4C"/>
    <w:rsid w:val="00F7179C"/>
    <w:rsid w:val="00F72BA2"/>
    <w:rsid w:val="00F753F0"/>
    <w:rsid w:val="00F76329"/>
    <w:rsid w:val="00F82DF9"/>
    <w:rsid w:val="00F82E16"/>
    <w:rsid w:val="00F845F4"/>
    <w:rsid w:val="00F84B8B"/>
    <w:rsid w:val="00F85FDB"/>
    <w:rsid w:val="00F944F8"/>
    <w:rsid w:val="00F94B9F"/>
    <w:rsid w:val="00FA10C2"/>
    <w:rsid w:val="00FA2563"/>
    <w:rsid w:val="00FA5936"/>
    <w:rsid w:val="00FB0E6D"/>
    <w:rsid w:val="00FB462D"/>
    <w:rsid w:val="00FB533C"/>
    <w:rsid w:val="00FB587B"/>
    <w:rsid w:val="00FB7667"/>
    <w:rsid w:val="00FC03C1"/>
    <w:rsid w:val="00FC5BDA"/>
    <w:rsid w:val="00FD185A"/>
    <w:rsid w:val="00FD306A"/>
    <w:rsid w:val="00FD4F7B"/>
    <w:rsid w:val="00FD5398"/>
    <w:rsid w:val="00FE0773"/>
    <w:rsid w:val="00FE1769"/>
    <w:rsid w:val="00FE6D57"/>
    <w:rsid w:val="00FF18AB"/>
    <w:rsid w:val="00FF4358"/>
    <w:rsid w:val="00FF6A33"/>
    <w:rsid w:val="00FF74C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0D7073"/>
  <w15:docId w15:val="{4B516B82-ADEC-4963-BF6B-B2F2CC2D8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66D"/>
    <w:rPr>
      <w:noProof/>
    </w:rPr>
  </w:style>
  <w:style w:type="paragraph" w:styleId="Heading1">
    <w:name w:val="heading 1"/>
    <w:basedOn w:val="Normal"/>
    <w:next w:val="Paragraph"/>
    <w:link w:val="Heading1Char"/>
    <w:qFormat/>
    <w:rsid w:val="00C34D0E"/>
    <w:pPr>
      <w:keepNext/>
      <w:keepLines/>
      <w:widowControl w:val="0"/>
      <w:numPr>
        <w:numId w:val="1"/>
      </w:numPr>
      <w:tabs>
        <w:tab w:val="left" w:pos="851"/>
      </w:tabs>
      <w:spacing w:before="240" w:after="120"/>
      <w:jc w:val="both"/>
      <w:outlineLvl w:val="0"/>
    </w:pPr>
    <w:rPr>
      <w:rFonts w:ascii="Arial" w:eastAsia="Times New Roman" w:hAnsi="Arial" w:cs="Times New Roman"/>
      <w:b/>
      <w:caps/>
      <w:color w:val="000000"/>
      <w:sz w:val="28"/>
      <w:szCs w:val="28"/>
      <w:lang w:eastAsia="it-IT"/>
    </w:rPr>
  </w:style>
  <w:style w:type="paragraph" w:styleId="Heading2">
    <w:name w:val="heading 2"/>
    <w:basedOn w:val="Normal"/>
    <w:next w:val="Paragraph"/>
    <w:link w:val="Heading2Char"/>
    <w:qFormat/>
    <w:rsid w:val="00C34D0E"/>
    <w:pPr>
      <w:keepNext/>
      <w:keepLines/>
      <w:numPr>
        <w:ilvl w:val="1"/>
        <w:numId w:val="1"/>
      </w:numPr>
      <w:tabs>
        <w:tab w:val="left" w:pos="851"/>
      </w:tabs>
      <w:spacing w:before="240" w:after="120"/>
      <w:jc w:val="both"/>
      <w:outlineLvl w:val="1"/>
    </w:pPr>
    <w:rPr>
      <w:rFonts w:ascii="Arial" w:eastAsia="Times New Roman" w:hAnsi="Arial" w:cs="Times New Roman"/>
      <w:b/>
      <w:caps/>
      <w:color w:val="000000"/>
      <w:lang w:val="it-IT" w:eastAsia="it-IT"/>
    </w:rPr>
  </w:style>
  <w:style w:type="paragraph" w:styleId="Heading3">
    <w:name w:val="heading 3"/>
    <w:basedOn w:val="Normal"/>
    <w:next w:val="Paragraph"/>
    <w:link w:val="Heading3Char"/>
    <w:qFormat/>
    <w:rsid w:val="00C34D0E"/>
    <w:pPr>
      <w:keepNext/>
      <w:keepLines/>
      <w:numPr>
        <w:ilvl w:val="2"/>
        <w:numId w:val="1"/>
      </w:numPr>
      <w:tabs>
        <w:tab w:val="left" w:pos="851"/>
      </w:tabs>
      <w:spacing w:before="240" w:after="120"/>
      <w:jc w:val="both"/>
      <w:outlineLvl w:val="2"/>
    </w:pPr>
    <w:rPr>
      <w:rFonts w:ascii="Arial" w:eastAsia="Times New Roman" w:hAnsi="Arial" w:cs="Times New Roman"/>
      <w:b/>
      <w:color w:val="000000"/>
      <w:sz w:val="22"/>
      <w:szCs w:val="20"/>
      <w:lang w:val="it-IT" w:eastAsia="it-IT"/>
    </w:rPr>
  </w:style>
  <w:style w:type="paragraph" w:styleId="Heading4">
    <w:name w:val="heading 4"/>
    <w:basedOn w:val="Normal"/>
    <w:next w:val="Paragraph"/>
    <w:link w:val="Heading4Char"/>
    <w:uiPriority w:val="9"/>
    <w:qFormat/>
    <w:rsid w:val="00C34D0E"/>
    <w:pPr>
      <w:keepNext/>
      <w:keepLines/>
      <w:numPr>
        <w:ilvl w:val="3"/>
        <w:numId w:val="1"/>
      </w:numPr>
      <w:tabs>
        <w:tab w:val="left" w:pos="851"/>
      </w:tabs>
      <w:spacing w:before="240" w:after="120"/>
      <w:jc w:val="both"/>
      <w:outlineLvl w:val="3"/>
    </w:pPr>
    <w:rPr>
      <w:rFonts w:ascii="Arial" w:eastAsia="Times New Roman" w:hAnsi="Arial" w:cs="Times New Roman"/>
      <w:color w:val="000000"/>
      <w:sz w:val="20"/>
      <w:szCs w:val="20"/>
      <w:u w:val="single"/>
      <w:lang w:val="it-IT" w:eastAsia="it-IT"/>
    </w:rPr>
  </w:style>
  <w:style w:type="paragraph" w:styleId="Heading5">
    <w:name w:val="heading 5"/>
    <w:basedOn w:val="Normal"/>
    <w:next w:val="Paragraph"/>
    <w:link w:val="Heading5Char"/>
    <w:qFormat/>
    <w:rsid w:val="00C34D0E"/>
    <w:pPr>
      <w:numPr>
        <w:ilvl w:val="4"/>
        <w:numId w:val="1"/>
      </w:numPr>
      <w:tabs>
        <w:tab w:val="left" w:pos="851"/>
      </w:tabs>
      <w:spacing w:before="240" w:after="120"/>
      <w:jc w:val="both"/>
      <w:outlineLvl w:val="4"/>
    </w:pPr>
    <w:rPr>
      <w:rFonts w:ascii="Arial" w:eastAsia="Times New Roman" w:hAnsi="Arial" w:cs="Times New Roman"/>
      <w:i/>
      <w:sz w:val="18"/>
      <w:szCs w:val="20"/>
      <w:u w:val="single"/>
      <w:lang w:val="it-IT"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34D0E"/>
    <w:rPr>
      <w:rFonts w:ascii="Arial" w:eastAsia="Times New Roman" w:hAnsi="Arial" w:cs="Times New Roman"/>
      <w:b/>
      <w:caps/>
      <w:color w:val="000000"/>
      <w:sz w:val="28"/>
      <w:szCs w:val="28"/>
      <w:lang w:eastAsia="it-IT"/>
    </w:rPr>
  </w:style>
  <w:style w:type="character" w:customStyle="1" w:styleId="Heading2Char">
    <w:name w:val="Heading 2 Char"/>
    <w:basedOn w:val="DefaultParagraphFont"/>
    <w:link w:val="Heading2"/>
    <w:rsid w:val="00C34D0E"/>
    <w:rPr>
      <w:rFonts w:ascii="Arial" w:eastAsia="Times New Roman" w:hAnsi="Arial" w:cs="Times New Roman"/>
      <w:b/>
      <w:caps/>
      <w:color w:val="000000"/>
      <w:lang w:val="it-IT" w:eastAsia="it-IT"/>
    </w:rPr>
  </w:style>
  <w:style w:type="character" w:customStyle="1" w:styleId="Heading3Char">
    <w:name w:val="Heading 3 Char"/>
    <w:basedOn w:val="DefaultParagraphFont"/>
    <w:link w:val="Heading3"/>
    <w:rsid w:val="00C34D0E"/>
    <w:rPr>
      <w:rFonts w:ascii="Arial" w:eastAsia="Times New Roman" w:hAnsi="Arial" w:cs="Times New Roman"/>
      <w:b/>
      <w:noProof/>
      <w:color w:val="000000"/>
      <w:sz w:val="22"/>
      <w:szCs w:val="20"/>
      <w:lang w:val="it-IT" w:eastAsia="it-IT"/>
    </w:rPr>
  </w:style>
  <w:style w:type="character" w:customStyle="1" w:styleId="Heading4Char">
    <w:name w:val="Heading 4 Char"/>
    <w:basedOn w:val="DefaultParagraphFont"/>
    <w:link w:val="Heading4"/>
    <w:uiPriority w:val="9"/>
    <w:rsid w:val="00C34D0E"/>
    <w:rPr>
      <w:rFonts w:ascii="Arial" w:eastAsia="Times New Roman" w:hAnsi="Arial" w:cs="Times New Roman"/>
      <w:color w:val="000000"/>
      <w:sz w:val="20"/>
      <w:szCs w:val="20"/>
      <w:u w:val="single"/>
      <w:lang w:val="it-IT" w:eastAsia="it-IT"/>
    </w:rPr>
  </w:style>
  <w:style w:type="character" w:customStyle="1" w:styleId="Heading5Char">
    <w:name w:val="Heading 5 Char"/>
    <w:basedOn w:val="DefaultParagraphFont"/>
    <w:link w:val="Heading5"/>
    <w:rsid w:val="00C34D0E"/>
    <w:rPr>
      <w:rFonts w:ascii="Arial" w:eastAsia="Times New Roman" w:hAnsi="Arial" w:cs="Times New Roman"/>
      <w:i/>
      <w:sz w:val="18"/>
      <w:szCs w:val="20"/>
      <w:u w:val="single"/>
      <w:lang w:val="it-IT" w:eastAsia="it-IT"/>
    </w:rPr>
  </w:style>
  <w:style w:type="character" w:styleId="CommentReference">
    <w:name w:val="annotation reference"/>
    <w:basedOn w:val="DefaultParagraphFont"/>
    <w:uiPriority w:val="99"/>
    <w:semiHidden/>
    <w:rsid w:val="00C34D0E"/>
    <w:rPr>
      <w:sz w:val="16"/>
      <w:szCs w:val="16"/>
    </w:rPr>
  </w:style>
  <w:style w:type="paragraph" w:styleId="CommentText">
    <w:name w:val="annotation text"/>
    <w:basedOn w:val="Normal"/>
    <w:link w:val="CommentTextChar"/>
    <w:uiPriority w:val="99"/>
    <w:semiHidden/>
    <w:rsid w:val="00C34D0E"/>
    <w:pPr>
      <w:jc w:val="both"/>
    </w:pPr>
    <w:rPr>
      <w:rFonts w:ascii="Times New Roman" w:eastAsia="Times New Roman" w:hAnsi="Times New Roman" w:cs="Times New Roman"/>
      <w:sz w:val="20"/>
      <w:szCs w:val="20"/>
      <w:lang w:val="it-IT" w:eastAsia="it-IT"/>
    </w:rPr>
  </w:style>
  <w:style w:type="character" w:customStyle="1" w:styleId="CommentTextChar">
    <w:name w:val="Comment Text Char"/>
    <w:basedOn w:val="DefaultParagraphFont"/>
    <w:link w:val="CommentText"/>
    <w:uiPriority w:val="99"/>
    <w:semiHidden/>
    <w:rsid w:val="00C34D0E"/>
    <w:rPr>
      <w:rFonts w:ascii="Times New Roman" w:eastAsia="Times New Roman" w:hAnsi="Times New Roman" w:cs="Times New Roman"/>
      <w:sz w:val="20"/>
      <w:szCs w:val="20"/>
      <w:lang w:val="it-IT" w:eastAsia="it-IT"/>
    </w:rPr>
  </w:style>
  <w:style w:type="paragraph" w:customStyle="1" w:styleId="Paragraph">
    <w:name w:val="Paragraph"/>
    <w:basedOn w:val="Normal"/>
    <w:link w:val="ParagraphChar"/>
    <w:uiPriority w:val="99"/>
    <w:rsid w:val="00C34D0E"/>
    <w:pPr>
      <w:tabs>
        <w:tab w:val="left" w:pos="851"/>
      </w:tabs>
      <w:spacing w:before="120" w:after="120"/>
      <w:jc w:val="both"/>
    </w:pPr>
    <w:rPr>
      <w:rFonts w:ascii="Arial" w:eastAsia="Times New Roman" w:hAnsi="Arial" w:cs="Times New Roman"/>
      <w:sz w:val="22"/>
      <w:lang w:val="it-IT" w:eastAsia="it-IT"/>
    </w:rPr>
  </w:style>
  <w:style w:type="character" w:customStyle="1" w:styleId="ParagraphChar">
    <w:name w:val="Paragraph Char"/>
    <w:basedOn w:val="DefaultParagraphFont"/>
    <w:link w:val="Paragraph"/>
    <w:rsid w:val="00C34D0E"/>
    <w:rPr>
      <w:rFonts w:ascii="Arial" w:eastAsia="Times New Roman" w:hAnsi="Arial" w:cs="Times New Roman"/>
      <w:sz w:val="22"/>
      <w:lang w:val="it-IT" w:eastAsia="it-IT"/>
    </w:rPr>
  </w:style>
  <w:style w:type="paragraph" w:styleId="BalloonText">
    <w:name w:val="Balloon Text"/>
    <w:basedOn w:val="Normal"/>
    <w:link w:val="BalloonTextChar"/>
    <w:uiPriority w:val="99"/>
    <w:semiHidden/>
    <w:unhideWhenUsed/>
    <w:rsid w:val="00C34D0E"/>
    <w:rPr>
      <w:rFonts w:ascii="Lucida Grande" w:hAnsi="Lucida Grande"/>
      <w:sz w:val="18"/>
      <w:szCs w:val="18"/>
    </w:rPr>
  </w:style>
  <w:style w:type="character" w:customStyle="1" w:styleId="BalloonTextChar">
    <w:name w:val="Balloon Text Char"/>
    <w:basedOn w:val="DefaultParagraphFont"/>
    <w:link w:val="BalloonText"/>
    <w:uiPriority w:val="99"/>
    <w:semiHidden/>
    <w:rsid w:val="00C34D0E"/>
    <w:rPr>
      <w:rFonts w:ascii="Lucida Grande" w:hAnsi="Lucida Grande"/>
      <w:sz w:val="18"/>
      <w:szCs w:val="18"/>
    </w:rPr>
  </w:style>
  <w:style w:type="paragraph" w:styleId="Header">
    <w:name w:val="header"/>
    <w:basedOn w:val="Normal"/>
    <w:link w:val="HeaderChar"/>
    <w:uiPriority w:val="99"/>
    <w:unhideWhenUsed/>
    <w:rsid w:val="00953C33"/>
    <w:pPr>
      <w:tabs>
        <w:tab w:val="center" w:pos="4320"/>
        <w:tab w:val="right" w:pos="8640"/>
      </w:tabs>
    </w:pPr>
  </w:style>
  <w:style w:type="character" w:customStyle="1" w:styleId="HeaderChar">
    <w:name w:val="Header Char"/>
    <w:basedOn w:val="DefaultParagraphFont"/>
    <w:link w:val="Header"/>
    <w:uiPriority w:val="99"/>
    <w:rsid w:val="00953C33"/>
  </w:style>
  <w:style w:type="paragraph" w:styleId="Footer">
    <w:name w:val="footer"/>
    <w:basedOn w:val="Normal"/>
    <w:link w:val="FooterChar"/>
    <w:uiPriority w:val="99"/>
    <w:unhideWhenUsed/>
    <w:rsid w:val="00953C33"/>
    <w:pPr>
      <w:tabs>
        <w:tab w:val="center" w:pos="4320"/>
        <w:tab w:val="right" w:pos="8640"/>
      </w:tabs>
    </w:pPr>
  </w:style>
  <w:style w:type="character" w:customStyle="1" w:styleId="FooterChar">
    <w:name w:val="Footer Char"/>
    <w:basedOn w:val="DefaultParagraphFont"/>
    <w:link w:val="Footer"/>
    <w:uiPriority w:val="99"/>
    <w:rsid w:val="00953C33"/>
  </w:style>
  <w:style w:type="paragraph" w:styleId="NormalWeb">
    <w:name w:val="Normal (Web)"/>
    <w:basedOn w:val="Normal"/>
    <w:uiPriority w:val="99"/>
    <w:unhideWhenUsed/>
    <w:rsid w:val="00953C33"/>
    <w:pPr>
      <w:spacing w:before="100" w:beforeAutospacing="1" w:after="100" w:afterAutospacing="1"/>
    </w:pPr>
    <w:rPr>
      <w:rFonts w:ascii="Times" w:hAnsi="Times" w:cs="Times New Roman"/>
      <w:sz w:val="20"/>
      <w:szCs w:val="20"/>
    </w:rPr>
  </w:style>
  <w:style w:type="table" w:styleId="TableGrid">
    <w:name w:val="Table Grid"/>
    <w:basedOn w:val="TableNormal"/>
    <w:uiPriority w:val="59"/>
    <w:rsid w:val="00953C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8F3A1B"/>
    <w:pPr>
      <w:widowControl/>
      <w:numPr>
        <w:numId w:val="0"/>
      </w:numPr>
      <w:tabs>
        <w:tab w:val="clear" w:pos="851"/>
      </w:tabs>
      <w:spacing w:before="480" w:after="0" w:line="276" w:lineRule="auto"/>
      <w:jc w:val="left"/>
      <w:outlineLvl w:val="9"/>
    </w:pPr>
    <w:rPr>
      <w:rFonts w:asciiTheme="majorHAnsi" w:eastAsiaTheme="majorEastAsia" w:hAnsiTheme="majorHAnsi" w:cstheme="majorBidi"/>
      <w:bCs/>
      <w:caps w:val="0"/>
      <w:color w:val="365F91" w:themeColor="accent1" w:themeShade="BF"/>
      <w:lang w:eastAsia="en-US"/>
    </w:rPr>
  </w:style>
  <w:style w:type="paragraph" w:styleId="TOC3">
    <w:name w:val="toc 3"/>
    <w:basedOn w:val="Normal"/>
    <w:next w:val="Normal"/>
    <w:autoRedefine/>
    <w:uiPriority w:val="39"/>
    <w:unhideWhenUsed/>
    <w:rsid w:val="008F3A1B"/>
    <w:pPr>
      <w:ind w:left="480"/>
    </w:pPr>
    <w:rPr>
      <w:sz w:val="22"/>
      <w:szCs w:val="22"/>
    </w:rPr>
  </w:style>
  <w:style w:type="paragraph" w:styleId="TOC1">
    <w:name w:val="toc 1"/>
    <w:basedOn w:val="Normal"/>
    <w:next w:val="Normal"/>
    <w:autoRedefine/>
    <w:uiPriority w:val="39"/>
    <w:semiHidden/>
    <w:unhideWhenUsed/>
    <w:rsid w:val="008F3A1B"/>
    <w:pPr>
      <w:spacing w:before="120"/>
    </w:pPr>
    <w:rPr>
      <w:b/>
    </w:rPr>
  </w:style>
  <w:style w:type="paragraph" w:styleId="TOC2">
    <w:name w:val="toc 2"/>
    <w:basedOn w:val="Normal"/>
    <w:next w:val="Normal"/>
    <w:autoRedefine/>
    <w:uiPriority w:val="39"/>
    <w:semiHidden/>
    <w:unhideWhenUsed/>
    <w:rsid w:val="008F3A1B"/>
    <w:pPr>
      <w:ind w:left="240"/>
    </w:pPr>
    <w:rPr>
      <w:b/>
      <w:sz w:val="22"/>
      <w:szCs w:val="22"/>
    </w:rPr>
  </w:style>
  <w:style w:type="paragraph" w:styleId="TOC4">
    <w:name w:val="toc 4"/>
    <w:basedOn w:val="Normal"/>
    <w:next w:val="Normal"/>
    <w:autoRedefine/>
    <w:uiPriority w:val="39"/>
    <w:semiHidden/>
    <w:unhideWhenUsed/>
    <w:rsid w:val="008F3A1B"/>
    <w:pPr>
      <w:ind w:left="720"/>
    </w:pPr>
    <w:rPr>
      <w:sz w:val="20"/>
      <w:szCs w:val="20"/>
    </w:rPr>
  </w:style>
  <w:style w:type="paragraph" w:styleId="TOC5">
    <w:name w:val="toc 5"/>
    <w:basedOn w:val="Normal"/>
    <w:next w:val="Normal"/>
    <w:autoRedefine/>
    <w:uiPriority w:val="39"/>
    <w:semiHidden/>
    <w:unhideWhenUsed/>
    <w:rsid w:val="008F3A1B"/>
    <w:pPr>
      <w:ind w:left="960"/>
    </w:pPr>
    <w:rPr>
      <w:sz w:val="20"/>
      <w:szCs w:val="20"/>
    </w:rPr>
  </w:style>
  <w:style w:type="paragraph" w:styleId="TOC6">
    <w:name w:val="toc 6"/>
    <w:basedOn w:val="Normal"/>
    <w:next w:val="Normal"/>
    <w:autoRedefine/>
    <w:uiPriority w:val="39"/>
    <w:semiHidden/>
    <w:unhideWhenUsed/>
    <w:rsid w:val="008F3A1B"/>
    <w:pPr>
      <w:ind w:left="1200"/>
    </w:pPr>
    <w:rPr>
      <w:sz w:val="20"/>
      <w:szCs w:val="20"/>
    </w:rPr>
  </w:style>
  <w:style w:type="paragraph" w:styleId="TOC7">
    <w:name w:val="toc 7"/>
    <w:basedOn w:val="Normal"/>
    <w:next w:val="Normal"/>
    <w:autoRedefine/>
    <w:uiPriority w:val="39"/>
    <w:semiHidden/>
    <w:unhideWhenUsed/>
    <w:rsid w:val="008F3A1B"/>
    <w:pPr>
      <w:ind w:left="1440"/>
    </w:pPr>
    <w:rPr>
      <w:sz w:val="20"/>
      <w:szCs w:val="20"/>
    </w:rPr>
  </w:style>
  <w:style w:type="paragraph" w:styleId="TOC8">
    <w:name w:val="toc 8"/>
    <w:basedOn w:val="Normal"/>
    <w:next w:val="Normal"/>
    <w:autoRedefine/>
    <w:uiPriority w:val="39"/>
    <w:semiHidden/>
    <w:unhideWhenUsed/>
    <w:rsid w:val="008F3A1B"/>
    <w:pPr>
      <w:ind w:left="1680"/>
    </w:pPr>
    <w:rPr>
      <w:sz w:val="20"/>
      <w:szCs w:val="20"/>
    </w:rPr>
  </w:style>
  <w:style w:type="paragraph" w:styleId="TOC9">
    <w:name w:val="toc 9"/>
    <w:basedOn w:val="Normal"/>
    <w:next w:val="Normal"/>
    <w:autoRedefine/>
    <w:uiPriority w:val="39"/>
    <w:semiHidden/>
    <w:unhideWhenUsed/>
    <w:rsid w:val="008F3A1B"/>
    <w:pPr>
      <w:ind w:left="1920"/>
    </w:pPr>
    <w:rPr>
      <w:sz w:val="20"/>
      <w:szCs w:val="20"/>
    </w:rPr>
  </w:style>
  <w:style w:type="paragraph" w:customStyle="1" w:styleId="Default">
    <w:name w:val="Default"/>
    <w:rsid w:val="00182417"/>
    <w:pPr>
      <w:widowControl w:val="0"/>
      <w:autoSpaceDE w:val="0"/>
      <w:autoSpaceDN w:val="0"/>
      <w:adjustRightInd w:val="0"/>
    </w:pPr>
    <w:rPr>
      <w:rFonts w:ascii="Times New Roman" w:hAnsi="Times New Roman" w:cs="Times New Roman"/>
      <w:color w:val="000000"/>
    </w:rPr>
  </w:style>
  <w:style w:type="paragraph" w:styleId="ListParagraph">
    <w:name w:val="List Paragraph"/>
    <w:basedOn w:val="Normal"/>
    <w:uiPriority w:val="34"/>
    <w:qFormat/>
    <w:rsid w:val="00182417"/>
    <w:pPr>
      <w:ind w:left="720"/>
      <w:contextualSpacing/>
    </w:pPr>
  </w:style>
  <w:style w:type="paragraph" w:styleId="FootnoteText">
    <w:name w:val="footnote text"/>
    <w:aliases w:val="single space,Car,footnote text1,F,Style 25,newfootnotetext,fn,Char Char,ft,footnote"/>
    <w:basedOn w:val="Normal"/>
    <w:link w:val="FootnoteTextChar"/>
    <w:uiPriority w:val="99"/>
    <w:unhideWhenUsed/>
    <w:rsid w:val="00356C72"/>
  </w:style>
  <w:style w:type="character" w:customStyle="1" w:styleId="FootnoteTextChar">
    <w:name w:val="Footnote Text Char"/>
    <w:aliases w:val="single space Char,Car Char,footnote text1 Char,F Char,Style 25 Char,newfootnotetext Char,fn Char,Char Char Char,ft Char,footnote Char"/>
    <w:basedOn w:val="DefaultParagraphFont"/>
    <w:link w:val="FootnoteText"/>
    <w:uiPriority w:val="99"/>
    <w:rsid w:val="00356C72"/>
  </w:style>
  <w:style w:type="character" w:styleId="FootnoteReference">
    <w:name w:val="footnote reference"/>
    <w:aliases w:val="Style 24"/>
    <w:basedOn w:val="DefaultParagraphFont"/>
    <w:uiPriority w:val="99"/>
    <w:unhideWhenUsed/>
    <w:rsid w:val="00356C72"/>
    <w:rPr>
      <w:vertAlign w:val="superscript"/>
    </w:rPr>
  </w:style>
  <w:style w:type="paragraph" w:styleId="EndnoteText">
    <w:name w:val="endnote text"/>
    <w:basedOn w:val="Normal"/>
    <w:link w:val="EndnoteTextChar"/>
    <w:uiPriority w:val="99"/>
    <w:unhideWhenUsed/>
    <w:rsid w:val="00CD70DC"/>
  </w:style>
  <w:style w:type="character" w:customStyle="1" w:styleId="EndnoteTextChar">
    <w:name w:val="Endnote Text Char"/>
    <w:basedOn w:val="DefaultParagraphFont"/>
    <w:link w:val="EndnoteText"/>
    <w:uiPriority w:val="99"/>
    <w:rsid w:val="00CD70DC"/>
  </w:style>
  <w:style w:type="character" w:styleId="EndnoteReference">
    <w:name w:val="endnote reference"/>
    <w:basedOn w:val="DefaultParagraphFont"/>
    <w:uiPriority w:val="99"/>
    <w:unhideWhenUsed/>
    <w:rsid w:val="00CD70DC"/>
    <w:rPr>
      <w:vertAlign w:val="superscript"/>
    </w:rPr>
  </w:style>
  <w:style w:type="paragraph" w:styleId="BodyTextIndent">
    <w:name w:val="Body Text Indent"/>
    <w:basedOn w:val="Normal"/>
    <w:link w:val="BodyTextIndentChar"/>
    <w:rsid w:val="00CD70DC"/>
    <w:pPr>
      <w:spacing w:after="240"/>
      <w:ind w:left="720"/>
      <w:jc w:val="both"/>
    </w:pPr>
    <w:rPr>
      <w:rFonts w:ascii="Times New Roman" w:eastAsia="Times New Roman" w:hAnsi="Times New Roman" w:cs="Times New Roman"/>
      <w:szCs w:val="20"/>
    </w:rPr>
  </w:style>
  <w:style w:type="character" w:customStyle="1" w:styleId="BodyTextIndentChar">
    <w:name w:val="Body Text Indent Char"/>
    <w:basedOn w:val="DefaultParagraphFont"/>
    <w:link w:val="BodyTextIndent"/>
    <w:rsid w:val="00CD70DC"/>
    <w:rPr>
      <w:rFonts w:ascii="Times New Roman" w:eastAsia="Times New Roman" w:hAnsi="Times New Roman" w:cs="Times New Roman"/>
      <w:szCs w:val="20"/>
    </w:rPr>
  </w:style>
  <w:style w:type="paragraph" w:styleId="BodyText">
    <w:name w:val="Body Text"/>
    <w:basedOn w:val="Normal"/>
    <w:link w:val="BodyTextChar"/>
    <w:uiPriority w:val="99"/>
    <w:unhideWhenUsed/>
    <w:rsid w:val="00AB569A"/>
    <w:pPr>
      <w:spacing w:after="120"/>
    </w:pPr>
  </w:style>
  <w:style w:type="character" w:customStyle="1" w:styleId="BodyTextChar">
    <w:name w:val="Body Text Char"/>
    <w:basedOn w:val="DefaultParagraphFont"/>
    <w:link w:val="BodyText"/>
    <w:uiPriority w:val="99"/>
    <w:rsid w:val="00AB569A"/>
  </w:style>
  <w:style w:type="character" w:styleId="Hyperlink">
    <w:name w:val="Hyperlink"/>
    <w:rsid w:val="00AB569A"/>
    <w:rPr>
      <w:color w:val="0000FF"/>
      <w:u w:val="single"/>
    </w:rPr>
  </w:style>
  <w:style w:type="paragraph" w:styleId="CommentSubject">
    <w:name w:val="annotation subject"/>
    <w:basedOn w:val="CommentText"/>
    <w:next w:val="CommentText"/>
    <w:link w:val="CommentSubjectChar"/>
    <w:uiPriority w:val="99"/>
    <w:semiHidden/>
    <w:unhideWhenUsed/>
    <w:rsid w:val="00301998"/>
    <w:pPr>
      <w:jc w:val="left"/>
    </w:pPr>
    <w:rPr>
      <w:rFonts w:asciiTheme="minorHAnsi" w:eastAsiaTheme="minorEastAsia" w:hAnsiTheme="minorHAnsi" w:cstheme="minorBidi"/>
      <w:b/>
      <w:bCs/>
      <w:lang w:val="en-US" w:eastAsia="en-US"/>
    </w:rPr>
  </w:style>
  <w:style w:type="character" w:customStyle="1" w:styleId="CommentSubjectChar">
    <w:name w:val="Comment Subject Char"/>
    <w:basedOn w:val="CommentTextChar"/>
    <w:link w:val="CommentSubject"/>
    <w:uiPriority w:val="99"/>
    <w:semiHidden/>
    <w:rsid w:val="00301998"/>
    <w:rPr>
      <w:rFonts w:ascii="Times New Roman" w:eastAsia="Times New Roman" w:hAnsi="Times New Roman" w:cs="Times New Roman"/>
      <w:b/>
      <w:bCs/>
      <w:sz w:val="20"/>
      <w:szCs w:val="20"/>
      <w:lang w:val="it-IT" w:eastAsia="it-IT"/>
    </w:rPr>
  </w:style>
  <w:style w:type="paragraph" w:styleId="Revision">
    <w:name w:val="Revision"/>
    <w:hidden/>
    <w:uiPriority w:val="99"/>
    <w:semiHidden/>
    <w:rsid w:val="00FA2563"/>
  </w:style>
  <w:style w:type="character" w:styleId="UnresolvedMention">
    <w:name w:val="Unresolved Mention"/>
    <w:basedOn w:val="DefaultParagraphFont"/>
    <w:uiPriority w:val="99"/>
    <w:semiHidden/>
    <w:unhideWhenUsed/>
    <w:rsid w:val="00D67A1C"/>
    <w:rPr>
      <w:color w:val="605E5C"/>
      <w:shd w:val="clear" w:color="auto" w:fill="E1DFDD"/>
    </w:rPr>
  </w:style>
  <w:style w:type="character" w:styleId="FollowedHyperlink">
    <w:name w:val="FollowedHyperlink"/>
    <w:basedOn w:val="DefaultParagraphFont"/>
    <w:uiPriority w:val="99"/>
    <w:semiHidden/>
    <w:unhideWhenUsed/>
    <w:rsid w:val="00557C0B"/>
    <w:rPr>
      <w:color w:val="800080" w:themeColor="followedHyperlink"/>
      <w:u w:val="single"/>
    </w:rPr>
  </w:style>
  <w:style w:type="character" w:styleId="Emphasis">
    <w:name w:val="Emphasis"/>
    <w:basedOn w:val="DefaultParagraphFont"/>
    <w:uiPriority w:val="20"/>
    <w:qFormat/>
    <w:rsid w:val="005E14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938616">
      <w:bodyDiv w:val="1"/>
      <w:marLeft w:val="0"/>
      <w:marRight w:val="0"/>
      <w:marTop w:val="0"/>
      <w:marBottom w:val="0"/>
      <w:divBdr>
        <w:top w:val="none" w:sz="0" w:space="0" w:color="auto"/>
        <w:left w:val="none" w:sz="0" w:space="0" w:color="auto"/>
        <w:bottom w:val="none" w:sz="0" w:space="0" w:color="auto"/>
        <w:right w:val="none" w:sz="0" w:space="0" w:color="auto"/>
      </w:divBdr>
    </w:div>
    <w:div w:id="421755613">
      <w:bodyDiv w:val="1"/>
      <w:marLeft w:val="0"/>
      <w:marRight w:val="0"/>
      <w:marTop w:val="0"/>
      <w:marBottom w:val="0"/>
      <w:divBdr>
        <w:top w:val="none" w:sz="0" w:space="0" w:color="auto"/>
        <w:left w:val="none" w:sz="0" w:space="0" w:color="auto"/>
        <w:bottom w:val="none" w:sz="0" w:space="0" w:color="auto"/>
        <w:right w:val="none" w:sz="0" w:space="0" w:color="auto"/>
      </w:divBdr>
    </w:div>
    <w:div w:id="805127683">
      <w:bodyDiv w:val="1"/>
      <w:marLeft w:val="0"/>
      <w:marRight w:val="0"/>
      <w:marTop w:val="0"/>
      <w:marBottom w:val="0"/>
      <w:divBdr>
        <w:top w:val="none" w:sz="0" w:space="0" w:color="auto"/>
        <w:left w:val="none" w:sz="0" w:space="0" w:color="auto"/>
        <w:bottom w:val="none" w:sz="0" w:space="0" w:color="auto"/>
        <w:right w:val="none" w:sz="0" w:space="0" w:color="auto"/>
      </w:divBdr>
    </w:div>
    <w:div w:id="868689336">
      <w:bodyDiv w:val="1"/>
      <w:marLeft w:val="0"/>
      <w:marRight w:val="0"/>
      <w:marTop w:val="0"/>
      <w:marBottom w:val="0"/>
      <w:divBdr>
        <w:top w:val="none" w:sz="0" w:space="0" w:color="auto"/>
        <w:left w:val="none" w:sz="0" w:space="0" w:color="auto"/>
        <w:bottom w:val="none" w:sz="0" w:space="0" w:color="auto"/>
        <w:right w:val="none" w:sz="0" w:space="0" w:color="auto"/>
      </w:divBdr>
    </w:div>
    <w:div w:id="911961277">
      <w:bodyDiv w:val="1"/>
      <w:marLeft w:val="0"/>
      <w:marRight w:val="0"/>
      <w:marTop w:val="0"/>
      <w:marBottom w:val="0"/>
      <w:divBdr>
        <w:top w:val="none" w:sz="0" w:space="0" w:color="auto"/>
        <w:left w:val="none" w:sz="0" w:space="0" w:color="auto"/>
        <w:bottom w:val="none" w:sz="0" w:space="0" w:color="auto"/>
        <w:right w:val="none" w:sz="0" w:space="0" w:color="auto"/>
      </w:divBdr>
    </w:div>
    <w:div w:id="974794334">
      <w:bodyDiv w:val="1"/>
      <w:marLeft w:val="0"/>
      <w:marRight w:val="0"/>
      <w:marTop w:val="0"/>
      <w:marBottom w:val="0"/>
      <w:divBdr>
        <w:top w:val="none" w:sz="0" w:space="0" w:color="auto"/>
        <w:left w:val="none" w:sz="0" w:space="0" w:color="auto"/>
        <w:bottom w:val="none" w:sz="0" w:space="0" w:color="auto"/>
        <w:right w:val="none" w:sz="0" w:space="0" w:color="auto"/>
      </w:divBdr>
    </w:div>
    <w:div w:id="1626813096">
      <w:bodyDiv w:val="1"/>
      <w:marLeft w:val="0"/>
      <w:marRight w:val="0"/>
      <w:marTop w:val="0"/>
      <w:marBottom w:val="0"/>
      <w:divBdr>
        <w:top w:val="none" w:sz="0" w:space="0" w:color="auto"/>
        <w:left w:val="none" w:sz="0" w:space="0" w:color="auto"/>
        <w:bottom w:val="none" w:sz="0" w:space="0" w:color="auto"/>
        <w:right w:val="none" w:sz="0" w:space="0" w:color="auto"/>
      </w:divBdr>
    </w:div>
    <w:div w:id="16933334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dbg.sharepoint.com/teams/EZ-RG-LON/RG-L1112/50%20Environmental%20and%20Social/SVGCL%20Report.pdf" TargetMode="External"/><Relationship Id="rId18" Type="http://schemas.openxmlformats.org/officeDocument/2006/relationships/hyperlink" Target="https://idbg.sharepoint.com/teams/EZ-RG-LON/RG-L1112/50%20Environmental%20and%20Social/SEP%20Update%204th%20Quarter%202019.docx" TargetMode="External"/><Relationship Id="rId26" Type="http://schemas.openxmlformats.org/officeDocument/2006/relationships/hyperlink" Target="https://idbg.sharepoint.com/teams/EZ-RG-LON/RG-L1112/50%20Environmental%20and%20Social/DRAFT%20environmental%20input%20to%20SVG%20geothermal%20drilling%20project_May%2020_%202020_sent%20to%20LB.docx" TargetMode="External"/><Relationship Id="rId3" Type="http://schemas.openxmlformats.org/officeDocument/2006/relationships/settings" Target="settings.xml"/><Relationship Id="rId21" Type="http://schemas.openxmlformats.org/officeDocument/2006/relationships/hyperlink" Target="https://idbg.sharepoint.com/teams/EZ-RG-LON/RG-L1112/50%20Environmental%20and%20Social/ME%20Report_2020-Q2.docx" TargetMode="External"/><Relationship Id="rId7" Type="http://schemas.openxmlformats.org/officeDocument/2006/relationships/header" Target="header1.xml"/><Relationship Id="rId12" Type="http://schemas.openxmlformats.org/officeDocument/2006/relationships/hyperlink" Target="https://idbg.sharepoint.com/teams/EZ-RG-LON/RG-L1112/50%20Environmental%20and%20Social/SVGCL_Memo%20on%20Non-compliances.docx" TargetMode="External"/><Relationship Id="rId17" Type="http://schemas.openxmlformats.org/officeDocument/2006/relationships/hyperlink" Target="https://idbg.sharepoint.com/teams/EZ-RG-LON/RG-L1112/50%20Environmental%20and%20Social/SITE%20ASSESMENT.docx" TargetMode="External"/><Relationship Id="rId25" Type="http://schemas.openxmlformats.org/officeDocument/2006/relationships/hyperlink" Target="https://idbg.sharepoint.com/teams/EZ-RG-LON/RG-L1112/50%20Environmental%20and%20Social/FW%20SVGCL_Memo%20on%20Non-compliances.msg" TargetMode="External"/><Relationship Id="rId33"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https://idbg.sharepoint.com/teams/EZ-RG-LON/RG-L1112/50%20Environmental%20and%20Social/Stakeholder%20Engagement%20Jan%202019%20-%20March%202020.xlsx" TargetMode="External"/><Relationship Id="rId20" Type="http://schemas.openxmlformats.org/officeDocument/2006/relationships/hyperlink" Target="https://idbg.sharepoint.com/teams/EZ-RG-LON/RG-L1112/50%20Environmental%20and%20Social/Message%20from%20Shurman%20Matthew.docx"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dbg.sharepoint.com/teams/EZ-RG-LON/RG-L1112/50%20Environmental%20and%20Social/SVGCL_Memo%20on%20Non-compliances3.docx" TargetMode="External"/><Relationship Id="rId24" Type="http://schemas.openxmlformats.org/officeDocument/2006/relationships/hyperlink" Target="https://idbg.sharepoint.com/teams/EZ-RG-LON/RG-L1112/50%20Environmental%20and%20Social/Geothermal%20Report.pdf" TargetMode="External"/><Relationship Id="rId32"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https://idbg.sharepoint.com/teams/EZ-RG-LON/RG-L1112/50%20Environmental%20and%20Social/SVG%20Geothermal%20Drilling%20Project%202%20Social%20and%20Gender%20Impact%20Assessment.docx" TargetMode="External"/><Relationship Id="rId23" Type="http://schemas.openxmlformats.org/officeDocument/2006/relationships/hyperlink" Target="https://idbg.sharepoint.com/teams/EZ-RG-LON/RG-L1112/50%20Environmental%20and%20Social/ME%20Report_2019-Q4.docx" TargetMode="External"/><Relationship Id="rId28" Type="http://schemas.openxmlformats.org/officeDocument/2006/relationships/hyperlink" Target="https://idbg.sharepoint.com/teams/EZ-RG-LON/RG-L1112/50%20Environmental%20and%20Social/CLO%20RAP%20Update%20March%2031%202020.docx" TargetMode="External"/><Relationship Id="rId10" Type="http://schemas.openxmlformats.org/officeDocument/2006/relationships/hyperlink" Target="https://idbg.sharepoint.com/teams/EZ-RG-LON/RG-L1112/50%20Environmental%20and%20Social/UPDATED_SVGCL_Memo%20on%20Non-compliances2.docx" TargetMode="External"/><Relationship Id="rId19" Type="http://schemas.openxmlformats.org/officeDocument/2006/relationships/hyperlink" Target="https://idbg.sharepoint.com/teams/EZ-RG-LON/RG-L1112/50%20Environmental%20and%20Social/SEP%20Update%202nd%20Quarter%202020.docx" TargetMode="External"/><Relationship Id="rId31"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idbg.sharepoint.com/teams/EZ-RG-LON/RG-L1071/50%20Environmental%20and%20Social/RG-L1071_ESRR_20201103_1011.pdf" TargetMode="External"/><Relationship Id="rId14" Type="http://schemas.openxmlformats.org/officeDocument/2006/relationships/hyperlink" Target="https://idbg.sharepoint.com/teams/EZ-RG-LON/RG-L1112/50%20Environmental%20and%20Social/SVGCL%20Report%20(1).pdf" TargetMode="External"/><Relationship Id="rId22" Type="http://schemas.openxmlformats.org/officeDocument/2006/relationships/hyperlink" Target="https://idbg.sharepoint.com/teams/EZ-RG-LON/RG-L1112/50%20Environmental%20and%20Social/ME%20Report_2020-Q1.docx" TargetMode="External"/><Relationship Id="rId27" Type="http://schemas.openxmlformats.org/officeDocument/2006/relationships/hyperlink" Target="https://idbg.sharepoint.com/teams/EZ-RG-LON/RG-L1112/50%20Environmental%20and%20Social/CompletionAudit_2020%20(RM).docx" TargetMode="External"/><Relationship Id="rId30" Type="http://schemas.openxmlformats.org/officeDocument/2006/relationships/theme" Target="theme/theme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ESS Supporting Document</DocPrefix>
    <GEFID xmlns="ceb00776-aa5c-4fc8-b6fe-5f035152e4b6">5312</GEFID>
    <ProjectType xmlns="ceb00776-aa5c-4fc8-b6fe-5f035152e4b6">FSP</ProjectType>
    <GEFProjectID xmlns="ceb00776-aa5c-4fc8-b6fe-5f035152e4b6">7e89cf19-df7c-e811-8124-3863bb2e1360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MTR ESS</DocType>
    <ProjectTitle xmlns="ceb00776-aa5c-4fc8-b6fe-5f035152e4b6">Sustainable Energy for the Eastern Caribbean (SEEC) Program</ProjectTitle>
    <TrustFundType xmlns="ceb00776-aa5c-4fc8-b6fe-5f035152e4b6">GET</TrustFundType>
    <TaxCatchAll xmlns="3e02667f-0271-471b-bd6e-11a2e16def1d" xsi:nil="true"/>
    <DocumentTitle xmlns="ceb00776-aa5c-4fc8-b6fe-5f035152e4b6">GEF ID 5312 -ESG Supervision Report SEF Geothermal ESG Supervision Report Nov2020</DocumentTitle>
  </documentManagement>
</p:properties>
</file>

<file path=customXml/itemProps1.xml><?xml version="1.0" encoding="utf-8"?>
<ds:datastoreItem xmlns:ds="http://schemas.openxmlformats.org/officeDocument/2006/customXml" ds:itemID="{5D58455A-74ED-44B7-BEC5-3280B5DA100D}"/>
</file>

<file path=customXml/itemProps2.xml><?xml version="1.0" encoding="utf-8"?>
<ds:datastoreItem xmlns:ds="http://schemas.openxmlformats.org/officeDocument/2006/customXml" ds:itemID="{E18D157A-970A-4FA4-8CCB-6C6C3DFC6AF0}"/>
</file>

<file path=customXml/itemProps3.xml><?xml version="1.0" encoding="utf-8"?>
<ds:datastoreItem xmlns:ds="http://schemas.openxmlformats.org/officeDocument/2006/customXml" ds:itemID="{AF846249-8A8B-46DE-B388-08826BA36D12}"/>
</file>

<file path=docProps/app.xml><?xml version="1.0" encoding="utf-8"?>
<Properties xmlns="http://schemas.openxmlformats.org/officeDocument/2006/extended-properties" xmlns:vt="http://schemas.openxmlformats.org/officeDocument/2006/docPropsVTypes">
  <Template>Normal.dotm</Template>
  <TotalTime>0</TotalTime>
  <Pages>11</Pages>
  <Words>5272</Words>
  <Characters>30057</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Diana Oradei</dc:creator>
  <cp:lastModifiedBy>Ortega Rada, Alexandra</cp:lastModifiedBy>
  <cp:revision>2</cp:revision>
  <cp:lastPrinted>2015-09-28T16:12:00Z</cp:lastPrinted>
  <dcterms:created xsi:type="dcterms:W3CDTF">2021-04-21T14:32:00Z</dcterms:created>
  <dcterms:modified xsi:type="dcterms:W3CDTF">2021-04-21T14:32:00Z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